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26" w:rsidRPr="00A96CFE" w:rsidRDefault="008C7A25" w:rsidP="00F50083">
      <w:pPr>
        <w:spacing w:after="0"/>
        <w:jc w:val="center"/>
        <w:rPr>
          <w:rFonts w:asciiTheme="majorHAnsi" w:hAnsiTheme="majorHAnsi"/>
          <w:b/>
          <w:sz w:val="32"/>
          <w:szCs w:val="32"/>
          <w:u w:val="single"/>
        </w:rPr>
      </w:pPr>
      <w:bookmarkStart w:id="0" w:name="_GoBack"/>
      <w:bookmarkEnd w:id="0"/>
      <w:r w:rsidRPr="00A96CFE">
        <w:rPr>
          <w:rFonts w:asciiTheme="majorHAnsi" w:hAnsiTheme="majorHAnsi"/>
          <w:b/>
          <w:sz w:val="32"/>
          <w:szCs w:val="32"/>
          <w:u w:val="single"/>
        </w:rPr>
        <w:t xml:space="preserve">ΤΕΧΝΙΚΕΣ ΠΡΟΔΙΑΓΡΑΦΕΣ </w:t>
      </w:r>
      <w:r w:rsidR="00EE276C" w:rsidRPr="00A96CFE">
        <w:rPr>
          <w:rFonts w:asciiTheme="majorHAnsi" w:hAnsiTheme="majorHAnsi"/>
          <w:b/>
          <w:sz w:val="32"/>
          <w:szCs w:val="32"/>
          <w:u w:val="single"/>
        </w:rPr>
        <w:t xml:space="preserve">ΜΕΣΩΝ </w:t>
      </w:r>
      <w:r w:rsidRPr="00A96CFE">
        <w:rPr>
          <w:rFonts w:asciiTheme="majorHAnsi" w:hAnsiTheme="majorHAnsi"/>
          <w:b/>
          <w:sz w:val="32"/>
          <w:szCs w:val="32"/>
          <w:u w:val="single"/>
        </w:rPr>
        <w:t>ΠΥΡΑΣΦΑΛΕΙΑΣ</w:t>
      </w:r>
    </w:p>
    <w:p w:rsidR="00F50083" w:rsidRPr="00A96CFE" w:rsidRDefault="00F50083" w:rsidP="00F50083">
      <w:pPr>
        <w:spacing w:after="0"/>
        <w:jc w:val="center"/>
        <w:rPr>
          <w:rFonts w:asciiTheme="majorHAnsi" w:hAnsiTheme="majorHAnsi"/>
          <w:b/>
          <w:sz w:val="32"/>
          <w:szCs w:val="32"/>
          <w:u w:val="single"/>
        </w:rPr>
      </w:pPr>
      <w:r w:rsidRPr="00A96CFE">
        <w:rPr>
          <w:rFonts w:asciiTheme="majorHAnsi" w:hAnsiTheme="majorHAnsi"/>
          <w:b/>
          <w:sz w:val="32"/>
          <w:szCs w:val="32"/>
          <w:u w:val="single"/>
        </w:rPr>
        <w:t>ΠΥΡΟΣΒΕΣΤΙΚΗ ΔΙΑΤΑΞΗ 15/2014</w:t>
      </w:r>
    </w:p>
    <w:p w:rsidR="00F50083" w:rsidRPr="00A96CFE" w:rsidRDefault="00F50083" w:rsidP="00F50083">
      <w:pPr>
        <w:pStyle w:val="a3"/>
        <w:spacing w:after="0" w:line="360" w:lineRule="auto"/>
        <w:ind w:left="0"/>
        <w:jc w:val="both"/>
        <w:rPr>
          <w:rFonts w:asciiTheme="majorHAnsi" w:hAnsiTheme="majorHAnsi"/>
          <w:sz w:val="24"/>
          <w:szCs w:val="24"/>
        </w:rPr>
      </w:pPr>
    </w:p>
    <w:p w:rsidR="00636D2A" w:rsidRPr="00A96CFE" w:rsidRDefault="00636D2A" w:rsidP="00F50083">
      <w:pPr>
        <w:pStyle w:val="a3"/>
        <w:spacing w:after="0" w:line="360" w:lineRule="auto"/>
        <w:ind w:left="0"/>
        <w:jc w:val="both"/>
        <w:rPr>
          <w:rFonts w:asciiTheme="majorHAnsi" w:hAnsiTheme="majorHAnsi"/>
          <w:sz w:val="24"/>
          <w:szCs w:val="24"/>
        </w:rPr>
      </w:pPr>
      <w:r w:rsidRPr="00A96CFE">
        <w:rPr>
          <w:rFonts w:asciiTheme="majorHAnsi" w:hAnsiTheme="majorHAnsi"/>
          <w:sz w:val="24"/>
          <w:szCs w:val="24"/>
        </w:rPr>
        <w:t>Τα υλικά ή/και συστήματα των μέσων ενεργητικής πυροπροστασίας υποχρεούνται να ακολουθούν τα εθνικά πρότυπα που αποτελούν μεταφορά ευρωπαϊκών προτύπων (ΕΛΟΤ ΕΝ), διεθνή πρότυπα (</w:t>
      </w:r>
      <w:r w:rsidRPr="00A96CFE">
        <w:rPr>
          <w:rFonts w:asciiTheme="majorHAnsi" w:hAnsiTheme="majorHAnsi"/>
          <w:sz w:val="24"/>
          <w:szCs w:val="24"/>
          <w:lang w:val="en-GB"/>
        </w:rPr>
        <w:t>ISO</w:t>
      </w:r>
      <w:r w:rsidRPr="00A96CFE">
        <w:rPr>
          <w:rFonts w:asciiTheme="majorHAnsi" w:hAnsiTheme="majorHAnsi"/>
          <w:sz w:val="24"/>
          <w:szCs w:val="24"/>
        </w:rPr>
        <w:t xml:space="preserve">) ή συστήματα αναφοράς από ευρωπαϊκούς οργανισμούς τυποποίησης και ελλείψει αυτών συστήματα αναφοράς από αντίστοιχους οργανισμούς τυποποίησης άλλων χωρών, τα εθνικά πρότυπα, τεχνικές προδιαγραφές, οδηγίες ή κανονισμούς εθνικής νομοθεσίας. </w:t>
      </w:r>
    </w:p>
    <w:p w:rsidR="004467CB" w:rsidRPr="00A96CFE" w:rsidRDefault="004820F3" w:rsidP="00F50083">
      <w:pPr>
        <w:pStyle w:val="a3"/>
        <w:spacing w:after="0" w:line="360" w:lineRule="auto"/>
        <w:ind w:left="0"/>
        <w:jc w:val="both"/>
        <w:rPr>
          <w:rFonts w:asciiTheme="majorHAnsi" w:hAnsiTheme="majorHAnsi"/>
          <w:sz w:val="24"/>
          <w:szCs w:val="24"/>
        </w:rPr>
      </w:pPr>
      <w:r w:rsidRPr="00A96CFE">
        <w:rPr>
          <w:rFonts w:asciiTheme="majorHAnsi" w:hAnsiTheme="majorHAnsi"/>
          <w:sz w:val="24"/>
          <w:szCs w:val="24"/>
        </w:rPr>
        <w:t>Η εγκατάσταση των μέτρων Πυρασφάλειας θα γίνει σύμφωνα με τους ισχύοντες κανονισμούς του Κράτους, τους όρους και τις απαιτήσεις της Δ.Ε.Η., τις περιγραφές και τα σχέδια της Μελέτης Πυροπροστασίας του κτιρίου, τους κανόνες της τέχνης και της τεχνικής και τις οδηγίες της επίβλεψης.</w:t>
      </w:r>
    </w:p>
    <w:p w:rsidR="004820F3" w:rsidRPr="00A96CFE" w:rsidRDefault="004820F3" w:rsidP="00705273">
      <w:pPr>
        <w:pStyle w:val="a3"/>
        <w:spacing w:after="0" w:line="360" w:lineRule="auto"/>
        <w:ind w:left="0"/>
        <w:jc w:val="both"/>
        <w:rPr>
          <w:rFonts w:asciiTheme="majorHAnsi" w:hAnsiTheme="majorHAnsi"/>
          <w:sz w:val="24"/>
          <w:szCs w:val="24"/>
        </w:rPr>
      </w:pPr>
    </w:p>
    <w:p w:rsidR="004820F3" w:rsidRPr="00A96CFE" w:rsidRDefault="004820F3" w:rsidP="00705273">
      <w:pPr>
        <w:pStyle w:val="a3"/>
        <w:spacing w:after="0" w:line="360" w:lineRule="auto"/>
        <w:ind w:left="0"/>
        <w:jc w:val="both"/>
        <w:rPr>
          <w:rFonts w:asciiTheme="majorHAnsi" w:hAnsiTheme="majorHAnsi"/>
          <w:sz w:val="24"/>
          <w:szCs w:val="24"/>
        </w:rPr>
      </w:pPr>
    </w:p>
    <w:p w:rsidR="00CE40FE" w:rsidRPr="00A96CFE" w:rsidRDefault="00297003" w:rsidP="00705273">
      <w:pPr>
        <w:pStyle w:val="a3"/>
        <w:numPr>
          <w:ilvl w:val="0"/>
          <w:numId w:val="1"/>
        </w:numPr>
        <w:spacing w:after="0" w:line="360" w:lineRule="auto"/>
        <w:ind w:left="0" w:firstLine="0"/>
        <w:jc w:val="both"/>
        <w:rPr>
          <w:rFonts w:asciiTheme="majorHAnsi" w:hAnsiTheme="majorHAnsi"/>
          <w:b/>
          <w:sz w:val="24"/>
          <w:szCs w:val="24"/>
          <w:u w:val="single"/>
        </w:rPr>
      </w:pPr>
      <w:r w:rsidRPr="00A96CFE">
        <w:rPr>
          <w:rFonts w:asciiTheme="majorHAnsi" w:hAnsiTheme="majorHAnsi"/>
          <w:b/>
          <w:sz w:val="24"/>
          <w:szCs w:val="24"/>
          <w:u w:val="single"/>
        </w:rPr>
        <w:t>ΕΠΙΔΙΟΡΘΩΣΗ ΦΟΡΑΣ ΑΝΟΙΓΜΑΤΟΣ ΤΗΣ ΠΟΡΤΑΣ ΕΞΟΔΟΥ ΚΙΝΔΥΝΟΥ</w:t>
      </w:r>
    </w:p>
    <w:p w:rsidR="00297003" w:rsidRPr="00A96CFE" w:rsidRDefault="006C3ADC" w:rsidP="00557D59">
      <w:pPr>
        <w:pStyle w:val="a3"/>
        <w:spacing w:after="0"/>
        <w:ind w:left="0"/>
        <w:jc w:val="both"/>
        <w:rPr>
          <w:rFonts w:asciiTheme="majorHAnsi" w:hAnsiTheme="majorHAnsi"/>
          <w:sz w:val="24"/>
          <w:szCs w:val="24"/>
        </w:rPr>
      </w:pPr>
      <w:r w:rsidRPr="00A96CFE">
        <w:rPr>
          <w:rFonts w:asciiTheme="majorHAnsi" w:hAnsiTheme="majorHAnsi"/>
          <w:sz w:val="24"/>
          <w:szCs w:val="24"/>
        </w:rPr>
        <w:t>Όλες οι απαραίτητες εργασίες μαζί με τα απαιτούμενα υλικά για την αλλαγή φοράς της πόρτας εξόδου κινδύνου, ώστε να ανοίγει προς την κατεύθυνση διαφυγής, παρέχοντας το πλήρες πλάτος του ανοίγματος της.</w:t>
      </w:r>
    </w:p>
    <w:p w:rsidR="006C3ADC" w:rsidRPr="00A96CFE" w:rsidRDefault="006C3ADC" w:rsidP="00705273">
      <w:pPr>
        <w:pStyle w:val="a3"/>
        <w:spacing w:after="0" w:line="360" w:lineRule="auto"/>
        <w:ind w:left="0"/>
        <w:jc w:val="both"/>
        <w:rPr>
          <w:rFonts w:asciiTheme="majorHAnsi" w:hAnsiTheme="majorHAnsi"/>
          <w:sz w:val="24"/>
          <w:szCs w:val="24"/>
        </w:rPr>
      </w:pPr>
    </w:p>
    <w:p w:rsidR="00CE40FE" w:rsidRPr="00A96CFE" w:rsidRDefault="00297003" w:rsidP="00705273">
      <w:pPr>
        <w:pStyle w:val="a3"/>
        <w:numPr>
          <w:ilvl w:val="0"/>
          <w:numId w:val="1"/>
        </w:numPr>
        <w:spacing w:after="0" w:line="360" w:lineRule="auto"/>
        <w:ind w:left="0" w:firstLine="0"/>
        <w:jc w:val="both"/>
        <w:rPr>
          <w:rFonts w:asciiTheme="majorHAnsi" w:hAnsiTheme="majorHAnsi"/>
          <w:b/>
          <w:sz w:val="24"/>
          <w:szCs w:val="24"/>
          <w:u w:val="single"/>
        </w:rPr>
      </w:pPr>
      <w:r w:rsidRPr="00A96CFE">
        <w:rPr>
          <w:rFonts w:asciiTheme="majorHAnsi" w:hAnsiTheme="majorHAnsi"/>
          <w:b/>
          <w:sz w:val="24"/>
          <w:szCs w:val="24"/>
          <w:u w:val="single"/>
        </w:rPr>
        <w:t>ΜΠΑΡΑ ΠΑΝΙΚΟΥ (</w:t>
      </w:r>
      <w:r w:rsidRPr="00A96CFE">
        <w:rPr>
          <w:rFonts w:asciiTheme="majorHAnsi" w:hAnsiTheme="majorHAnsi"/>
          <w:b/>
          <w:i/>
          <w:sz w:val="24"/>
          <w:szCs w:val="24"/>
          <w:u w:val="single"/>
          <w:lang w:val="en-GB"/>
        </w:rPr>
        <w:t>FAST</w:t>
      </w:r>
      <w:r w:rsidRPr="00A96CFE">
        <w:rPr>
          <w:rFonts w:asciiTheme="majorHAnsi" w:hAnsiTheme="majorHAnsi"/>
          <w:b/>
          <w:i/>
          <w:sz w:val="24"/>
          <w:szCs w:val="24"/>
          <w:u w:val="single"/>
        </w:rPr>
        <w:t xml:space="preserve"> </w:t>
      </w:r>
      <w:r w:rsidRPr="00A96CFE">
        <w:rPr>
          <w:rFonts w:asciiTheme="majorHAnsi" w:hAnsiTheme="majorHAnsi"/>
          <w:b/>
          <w:i/>
          <w:sz w:val="24"/>
          <w:szCs w:val="24"/>
          <w:u w:val="single"/>
          <w:lang w:val="en-GB"/>
        </w:rPr>
        <w:t>PUSH</w:t>
      </w:r>
      <w:r w:rsidRPr="00A96CFE">
        <w:rPr>
          <w:rFonts w:asciiTheme="majorHAnsi" w:hAnsiTheme="majorHAnsi"/>
          <w:b/>
          <w:sz w:val="24"/>
          <w:szCs w:val="24"/>
          <w:u w:val="single"/>
        </w:rPr>
        <w:t>) ΓΙΑ ΠΥΡΑΝΤΟΧΕΣ ΠΟΡΤΕΣ ΜΕ ΧΩΝΕΥΤΗ ΚΛΕΙΔΑΡΙΑ</w:t>
      </w:r>
    </w:p>
    <w:p w:rsidR="0090299F" w:rsidRPr="00A96CFE" w:rsidRDefault="0090299F" w:rsidP="00500579">
      <w:pPr>
        <w:pStyle w:val="a3"/>
        <w:spacing w:after="0" w:line="360" w:lineRule="auto"/>
        <w:ind w:left="0"/>
        <w:jc w:val="center"/>
        <w:rPr>
          <w:rFonts w:asciiTheme="majorHAnsi" w:hAnsiTheme="majorHAnsi"/>
          <w:sz w:val="24"/>
          <w:szCs w:val="24"/>
        </w:rPr>
      </w:pPr>
      <w:r w:rsidRPr="00A96CFE">
        <w:rPr>
          <w:rFonts w:asciiTheme="majorHAnsi" w:hAnsiTheme="majorHAnsi"/>
          <w:noProof/>
          <w:sz w:val="24"/>
          <w:szCs w:val="24"/>
        </w:rPr>
        <w:drawing>
          <wp:inline distT="0" distB="0" distL="0" distR="0">
            <wp:extent cx="1800000" cy="1800000"/>
            <wp:effectExtent l="19050" t="0" r="0" b="0"/>
            <wp:docPr id="22" name="Εικόνα 9" descr="C:\Users\s.korgolis\Desktop\cisa-panic-exit-59001-do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korgolis\Desktop\cisa-panic-exit-59001-door2.jpg"/>
                    <pic:cNvPicPr>
                      <a:picLocks noChangeAspect="1" noChangeArrowheads="1"/>
                    </pic:cNvPicPr>
                  </pic:nvPicPr>
                  <pic:blipFill>
                    <a:blip r:embed="rId7"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rsidR="00297003" w:rsidRPr="00A96CFE" w:rsidRDefault="0090299F" w:rsidP="00557D59">
      <w:pPr>
        <w:pStyle w:val="a3"/>
        <w:spacing w:after="0"/>
        <w:ind w:left="0"/>
        <w:jc w:val="both"/>
        <w:rPr>
          <w:rFonts w:asciiTheme="majorHAnsi" w:hAnsiTheme="majorHAnsi"/>
          <w:sz w:val="24"/>
          <w:szCs w:val="24"/>
        </w:rPr>
      </w:pPr>
      <w:r w:rsidRPr="00A96CFE">
        <w:rPr>
          <w:rFonts w:asciiTheme="majorHAnsi" w:hAnsiTheme="majorHAnsi"/>
          <w:sz w:val="24"/>
          <w:szCs w:val="24"/>
        </w:rPr>
        <w:t xml:space="preserve">Η μπάρα πανικού χρησιμοποιείται σε συνδυασμό με κλειδαριά πανικού. Τοποθετείται είτε δεξιά είτε αριστερά και είναι κατάλληλη είτε για μονόφυλλη είτε για δίφυλλη πόρτα (με τη χρήση χωνευτής κλειδαριάς για το δεύτερο φύλλο). Η συσκευασία να περιλαμβάνει την μπάρα, το στήριγμα, τη διακοσμητική ροζέτα καθώς και το διαιρούμενο </w:t>
      </w:r>
      <w:proofErr w:type="spellStart"/>
      <w:r w:rsidRPr="00A96CFE">
        <w:rPr>
          <w:rFonts w:asciiTheme="majorHAnsi" w:hAnsiTheme="majorHAnsi"/>
          <w:sz w:val="24"/>
          <w:szCs w:val="24"/>
        </w:rPr>
        <w:t>αξονάκι</w:t>
      </w:r>
      <w:proofErr w:type="spellEnd"/>
      <w:r w:rsidRPr="00A96CFE">
        <w:rPr>
          <w:rFonts w:asciiTheme="majorHAnsi" w:hAnsiTheme="majorHAnsi"/>
          <w:sz w:val="24"/>
          <w:szCs w:val="24"/>
        </w:rPr>
        <w:t>. Για εξωτερική χρήση λειτουργία μόνο με κλειδί.</w:t>
      </w:r>
    </w:p>
    <w:p w:rsidR="0090299F" w:rsidRPr="00A96CFE" w:rsidRDefault="0090299F" w:rsidP="00705273">
      <w:pPr>
        <w:pStyle w:val="a3"/>
        <w:spacing w:after="0" w:line="360" w:lineRule="auto"/>
        <w:ind w:left="0"/>
        <w:jc w:val="both"/>
        <w:rPr>
          <w:rFonts w:asciiTheme="majorHAnsi" w:hAnsiTheme="majorHAnsi"/>
          <w:sz w:val="24"/>
          <w:szCs w:val="24"/>
        </w:rPr>
      </w:pPr>
    </w:p>
    <w:p w:rsidR="009053C5" w:rsidRPr="00A96CFE" w:rsidRDefault="009053C5" w:rsidP="00705273">
      <w:pPr>
        <w:pStyle w:val="a3"/>
        <w:numPr>
          <w:ilvl w:val="0"/>
          <w:numId w:val="1"/>
        </w:numPr>
        <w:spacing w:after="0" w:line="360" w:lineRule="auto"/>
        <w:ind w:left="0" w:firstLine="0"/>
        <w:jc w:val="both"/>
        <w:rPr>
          <w:rFonts w:asciiTheme="majorHAnsi" w:hAnsiTheme="majorHAnsi"/>
          <w:b/>
          <w:sz w:val="24"/>
          <w:szCs w:val="24"/>
          <w:u w:val="single"/>
        </w:rPr>
      </w:pPr>
      <w:r w:rsidRPr="00A96CFE">
        <w:rPr>
          <w:rFonts w:asciiTheme="majorHAnsi" w:hAnsiTheme="majorHAnsi"/>
          <w:b/>
          <w:sz w:val="24"/>
          <w:szCs w:val="24"/>
          <w:u w:val="single"/>
        </w:rPr>
        <w:t>ΦΩΤΙΣ</w:t>
      </w:r>
      <w:r w:rsidR="00BD5272" w:rsidRPr="00A96CFE">
        <w:rPr>
          <w:rFonts w:asciiTheme="majorHAnsi" w:hAnsiTheme="majorHAnsi"/>
          <w:b/>
          <w:sz w:val="24"/>
          <w:szCs w:val="24"/>
          <w:u w:val="single"/>
        </w:rPr>
        <w:t xml:space="preserve">ΜΟΣ &amp; ΣΗΜΑΝΣΗ </w:t>
      </w:r>
      <w:r w:rsidRPr="00A96CFE">
        <w:rPr>
          <w:rFonts w:asciiTheme="majorHAnsi" w:hAnsiTheme="majorHAnsi"/>
          <w:b/>
          <w:sz w:val="24"/>
          <w:szCs w:val="24"/>
          <w:u w:val="single"/>
        </w:rPr>
        <w:t>ΑΣΦΑΛΕΙΑΣ</w:t>
      </w:r>
      <w:r w:rsidR="00BD5272" w:rsidRPr="00A96CFE">
        <w:rPr>
          <w:rFonts w:asciiTheme="majorHAnsi" w:hAnsiTheme="majorHAnsi"/>
          <w:b/>
          <w:sz w:val="24"/>
          <w:szCs w:val="24"/>
          <w:u w:val="single"/>
        </w:rPr>
        <w:t xml:space="preserve"> – ΣΧΕΔΙΑΓΡΑΜΜΑΤΑ ΔΙΑΦΥΓΗΣ</w:t>
      </w:r>
    </w:p>
    <w:p w:rsidR="00F31F92" w:rsidRPr="00A96CFE" w:rsidRDefault="00F31F92" w:rsidP="00500579">
      <w:pPr>
        <w:shd w:val="clear" w:color="auto" w:fill="FFFFFF"/>
        <w:spacing w:after="0" w:line="360" w:lineRule="auto"/>
        <w:jc w:val="center"/>
        <w:rPr>
          <w:rFonts w:asciiTheme="majorHAnsi" w:hAnsiTheme="majorHAnsi" w:cstheme="minorHAnsi"/>
          <w:sz w:val="24"/>
          <w:szCs w:val="24"/>
        </w:rPr>
      </w:pPr>
      <w:r w:rsidRPr="00A96CFE">
        <w:rPr>
          <w:rFonts w:asciiTheme="majorHAnsi" w:hAnsiTheme="majorHAnsi" w:cstheme="minorHAnsi"/>
          <w:noProof/>
          <w:sz w:val="24"/>
          <w:szCs w:val="24"/>
        </w:rPr>
        <w:lastRenderedPageBreak/>
        <w:drawing>
          <wp:inline distT="0" distB="0" distL="0" distR="0">
            <wp:extent cx="1800000" cy="1800000"/>
            <wp:effectExtent l="19050" t="0" r="0" b="0"/>
            <wp:docPr id="13" name="Εικόνα 1" descr="C:\Users\s.korgolis\Desktop\3075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rgolis\Desktop\30754-300x300.jpg"/>
                    <pic:cNvPicPr>
                      <a:picLocks noChangeAspect="1" noChangeArrowheads="1"/>
                    </pic:cNvPicPr>
                  </pic:nvPicPr>
                  <pic:blipFill>
                    <a:blip r:embed="rId8"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r w:rsidRPr="00A96CFE">
        <w:rPr>
          <w:rFonts w:asciiTheme="majorHAnsi" w:hAnsiTheme="majorHAnsi" w:cstheme="minorHAnsi"/>
          <w:noProof/>
          <w:sz w:val="24"/>
          <w:szCs w:val="24"/>
        </w:rPr>
        <w:drawing>
          <wp:inline distT="0" distB="0" distL="0" distR="0">
            <wp:extent cx="1800000" cy="1800000"/>
            <wp:effectExtent l="19050" t="0" r="0" b="0"/>
            <wp:docPr id="14" name="Εικόνα 2" descr="C:\Users\s.korgolis\Desktop\ZN111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orgolis\Desktop\ZN1110-300x300.jpg"/>
                    <pic:cNvPicPr>
                      <a:picLocks noChangeAspect="1" noChangeArrowheads="1"/>
                    </pic:cNvPicPr>
                  </pic:nvPicPr>
                  <pic:blipFill>
                    <a:blip r:embed="rId9"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rsidR="008234B4" w:rsidRPr="00A96CFE" w:rsidRDefault="008234B4" w:rsidP="00557D59">
      <w:pPr>
        <w:shd w:val="clear" w:color="auto" w:fill="FFFFFF"/>
        <w:spacing w:after="0"/>
        <w:jc w:val="both"/>
        <w:rPr>
          <w:rFonts w:asciiTheme="majorHAnsi" w:hAnsiTheme="majorHAnsi" w:cstheme="minorHAnsi"/>
          <w:sz w:val="24"/>
          <w:szCs w:val="24"/>
        </w:rPr>
      </w:pPr>
      <w:r w:rsidRPr="00A96CFE">
        <w:rPr>
          <w:rFonts w:asciiTheme="majorHAnsi" w:hAnsiTheme="majorHAnsi" w:cstheme="minorHAnsi"/>
          <w:sz w:val="24"/>
          <w:szCs w:val="24"/>
        </w:rPr>
        <w:t xml:space="preserve">Ο </w:t>
      </w:r>
      <w:r w:rsidRPr="00A96CFE">
        <w:rPr>
          <w:rFonts w:asciiTheme="majorHAnsi" w:hAnsiTheme="majorHAnsi" w:cstheme="minorHAnsi"/>
          <w:b/>
          <w:sz w:val="24"/>
          <w:szCs w:val="24"/>
        </w:rPr>
        <w:t>φωτισμός ασφαλείας</w:t>
      </w:r>
      <w:r w:rsidRPr="00A96CFE">
        <w:rPr>
          <w:rFonts w:asciiTheme="majorHAnsi" w:hAnsiTheme="majorHAnsi" w:cstheme="minorHAnsi"/>
          <w:sz w:val="24"/>
          <w:szCs w:val="24"/>
        </w:rPr>
        <w:t xml:space="preserve"> σχεδιάζεται και εγκαθίσταται σύμφωνα με το </w:t>
      </w:r>
      <w:r w:rsidRPr="00A96CFE">
        <w:rPr>
          <w:rFonts w:asciiTheme="majorHAnsi" w:hAnsiTheme="majorHAnsi" w:cstheme="minorHAnsi"/>
          <w:b/>
          <w:sz w:val="24"/>
          <w:szCs w:val="24"/>
        </w:rPr>
        <w:t>Πρότυπο ΕΛΟΤ ΕΝ 1838: «Εφαρμογές Φωτισμού – Φωτιστικά Ασφαλείας»</w:t>
      </w:r>
      <w:r w:rsidRPr="00A96CFE">
        <w:rPr>
          <w:rFonts w:asciiTheme="majorHAnsi" w:hAnsiTheme="majorHAnsi" w:cstheme="minorHAnsi"/>
          <w:sz w:val="24"/>
          <w:szCs w:val="24"/>
        </w:rPr>
        <w:t xml:space="preserve">, όπως κάθε φορά ισχύει. </w:t>
      </w:r>
    </w:p>
    <w:p w:rsidR="008234B4" w:rsidRPr="00A96CFE" w:rsidRDefault="008234B4" w:rsidP="00557D59">
      <w:pPr>
        <w:shd w:val="clear" w:color="auto" w:fill="FFFFFF"/>
        <w:spacing w:after="0"/>
        <w:jc w:val="both"/>
        <w:rPr>
          <w:rFonts w:asciiTheme="majorHAnsi" w:hAnsiTheme="majorHAnsi" w:cstheme="minorHAnsi"/>
          <w:sz w:val="24"/>
          <w:szCs w:val="24"/>
        </w:rPr>
      </w:pPr>
      <w:r w:rsidRPr="00A96CFE">
        <w:rPr>
          <w:rFonts w:asciiTheme="majorHAnsi" w:hAnsiTheme="majorHAnsi" w:cstheme="minorHAnsi"/>
          <w:sz w:val="24"/>
          <w:szCs w:val="24"/>
        </w:rPr>
        <w:t xml:space="preserve">Τα </w:t>
      </w:r>
      <w:r w:rsidRPr="00A96CFE">
        <w:rPr>
          <w:rFonts w:asciiTheme="majorHAnsi" w:hAnsiTheme="majorHAnsi" w:cstheme="minorHAnsi"/>
          <w:b/>
          <w:sz w:val="24"/>
          <w:szCs w:val="24"/>
        </w:rPr>
        <w:t>σήματα (πινακίδες) διάσωσης ή βοήθειας</w:t>
      </w:r>
      <w:r w:rsidRPr="00A96CFE">
        <w:rPr>
          <w:rFonts w:asciiTheme="majorHAnsi" w:hAnsiTheme="majorHAnsi" w:cstheme="minorHAnsi"/>
          <w:sz w:val="24"/>
          <w:szCs w:val="24"/>
        </w:rPr>
        <w:t xml:space="preserve"> καθώς και τα σήματα (πινακίδες) που αφορούν τον πυροσβεστικό εξοπλισμό με τα εγγενή χαρακτηριστικά τους να τοποθετούνται – εγκαθίστανται σύμφωνα με το </w:t>
      </w:r>
      <w:r w:rsidRPr="00A96CFE">
        <w:rPr>
          <w:rFonts w:asciiTheme="majorHAnsi" w:hAnsiTheme="majorHAnsi" w:cstheme="minorHAnsi"/>
          <w:b/>
          <w:sz w:val="24"/>
          <w:szCs w:val="24"/>
        </w:rPr>
        <w:t xml:space="preserve">Πρότυπο ΕΛΟΤ </w:t>
      </w:r>
      <w:r w:rsidRPr="00A96CFE">
        <w:rPr>
          <w:rFonts w:asciiTheme="majorHAnsi" w:hAnsiTheme="majorHAnsi" w:cstheme="minorHAnsi"/>
          <w:b/>
          <w:sz w:val="24"/>
          <w:szCs w:val="24"/>
          <w:lang w:val="en-GB"/>
        </w:rPr>
        <w:t>EN</w:t>
      </w:r>
      <w:r w:rsidRPr="00A96CFE">
        <w:rPr>
          <w:rFonts w:asciiTheme="majorHAnsi" w:hAnsiTheme="majorHAnsi" w:cstheme="minorHAnsi"/>
          <w:b/>
          <w:sz w:val="24"/>
          <w:szCs w:val="24"/>
        </w:rPr>
        <w:t xml:space="preserve"> </w:t>
      </w:r>
      <w:r w:rsidRPr="00A96CFE">
        <w:rPr>
          <w:rFonts w:asciiTheme="majorHAnsi" w:hAnsiTheme="majorHAnsi" w:cstheme="minorHAnsi"/>
          <w:b/>
          <w:sz w:val="24"/>
          <w:szCs w:val="24"/>
          <w:lang w:val="en-GB"/>
        </w:rPr>
        <w:t>ISO</w:t>
      </w:r>
      <w:r w:rsidRPr="00A96CFE">
        <w:rPr>
          <w:rFonts w:asciiTheme="majorHAnsi" w:hAnsiTheme="majorHAnsi" w:cstheme="minorHAnsi"/>
          <w:b/>
          <w:sz w:val="24"/>
          <w:szCs w:val="24"/>
        </w:rPr>
        <w:t xml:space="preserve"> 7010: «</w:t>
      </w:r>
      <w:r w:rsidR="00D0586F" w:rsidRPr="00A96CFE">
        <w:rPr>
          <w:rFonts w:asciiTheme="majorHAnsi" w:hAnsiTheme="majorHAnsi" w:cstheme="minorHAnsi"/>
          <w:b/>
          <w:sz w:val="24"/>
          <w:szCs w:val="24"/>
        </w:rPr>
        <w:t>Γραφικά σύμβολα – Χρώματα και ενδείξεις ασφαλείας – Καταχωρημένες ενδείξεις ασφαλείας»</w:t>
      </w:r>
      <w:r w:rsidR="00D0586F" w:rsidRPr="00A96CFE">
        <w:rPr>
          <w:rFonts w:asciiTheme="majorHAnsi" w:hAnsiTheme="majorHAnsi" w:cstheme="minorHAnsi"/>
          <w:sz w:val="24"/>
          <w:szCs w:val="24"/>
        </w:rPr>
        <w:t xml:space="preserve">, όπως κάθε φορά ισχύει αφού ληφθούν υπόψη οι διατάξεις του </w:t>
      </w:r>
      <w:r w:rsidR="00D0586F" w:rsidRPr="00A96CFE">
        <w:rPr>
          <w:rFonts w:asciiTheme="majorHAnsi" w:hAnsiTheme="majorHAnsi" w:cstheme="minorHAnsi"/>
          <w:b/>
          <w:sz w:val="24"/>
          <w:szCs w:val="24"/>
        </w:rPr>
        <w:t>Π.Δ. 105/1995 (ΦΕΚ Α΄ 67) «Ελάχιστες προδιαγραφές για την σήμανση ασφάλειας ή/και υγείας στην εργασία σε συμμόρφωση με την Οδηγία 92/58/ΕΟΚ»</w:t>
      </w:r>
      <w:r w:rsidR="00D0586F" w:rsidRPr="00A96CFE">
        <w:rPr>
          <w:rFonts w:asciiTheme="majorHAnsi" w:hAnsiTheme="majorHAnsi" w:cstheme="minorHAnsi"/>
          <w:sz w:val="24"/>
          <w:szCs w:val="24"/>
        </w:rPr>
        <w:t>.</w:t>
      </w:r>
    </w:p>
    <w:p w:rsidR="00936FCC" w:rsidRPr="00A96CFE" w:rsidRDefault="00936FCC" w:rsidP="00557D59">
      <w:pPr>
        <w:shd w:val="clear" w:color="auto" w:fill="FFFFFF"/>
        <w:spacing w:after="0"/>
        <w:jc w:val="both"/>
        <w:rPr>
          <w:rFonts w:asciiTheme="majorHAnsi" w:hAnsiTheme="majorHAnsi" w:cstheme="minorHAnsi"/>
          <w:sz w:val="24"/>
          <w:szCs w:val="24"/>
        </w:rPr>
      </w:pPr>
      <w:r w:rsidRPr="00A96CFE">
        <w:rPr>
          <w:rFonts w:asciiTheme="majorHAnsi" w:hAnsiTheme="majorHAnsi" w:cstheme="minorHAnsi"/>
          <w:sz w:val="24"/>
          <w:szCs w:val="24"/>
        </w:rPr>
        <w:t xml:space="preserve">Τα </w:t>
      </w:r>
      <w:r w:rsidRPr="00A96CFE">
        <w:rPr>
          <w:rFonts w:asciiTheme="majorHAnsi" w:hAnsiTheme="majorHAnsi" w:cstheme="minorHAnsi"/>
          <w:b/>
          <w:sz w:val="24"/>
          <w:szCs w:val="24"/>
        </w:rPr>
        <w:t>σχεδιαγράμματα διαφυγής</w:t>
      </w:r>
      <w:r w:rsidRPr="00A96CFE">
        <w:rPr>
          <w:rFonts w:asciiTheme="majorHAnsi" w:hAnsiTheme="majorHAnsi" w:cstheme="minorHAnsi"/>
          <w:sz w:val="24"/>
          <w:szCs w:val="24"/>
        </w:rPr>
        <w:t xml:space="preserve"> με τις αντίστοιχες πινακίδες να είναι σύμφωνα με το </w:t>
      </w:r>
      <w:r w:rsidRPr="00A96CFE">
        <w:rPr>
          <w:rFonts w:asciiTheme="majorHAnsi" w:hAnsiTheme="majorHAnsi" w:cstheme="minorHAnsi"/>
          <w:b/>
          <w:sz w:val="24"/>
          <w:szCs w:val="24"/>
        </w:rPr>
        <w:t xml:space="preserve">Πρότυπο </w:t>
      </w:r>
      <w:r w:rsidRPr="00A96CFE">
        <w:rPr>
          <w:rFonts w:asciiTheme="majorHAnsi" w:hAnsiTheme="majorHAnsi" w:cstheme="minorHAnsi"/>
          <w:b/>
          <w:sz w:val="24"/>
          <w:szCs w:val="24"/>
          <w:lang w:val="en-GB"/>
        </w:rPr>
        <w:t>ISO</w:t>
      </w:r>
      <w:r w:rsidRPr="00A96CFE">
        <w:rPr>
          <w:rFonts w:asciiTheme="majorHAnsi" w:hAnsiTheme="majorHAnsi" w:cstheme="minorHAnsi"/>
          <w:b/>
          <w:sz w:val="24"/>
          <w:szCs w:val="24"/>
        </w:rPr>
        <w:t xml:space="preserve"> 23601: «</w:t>
      </w:r>
      <w:r w:rsidRPr="00A96CFE">
        <w:rPr>
          <w:rFonts w:asciiTheme="majorHAnsi" w:hAnsiTheme="majorHAnsi" w:cstheme="minorHAnsi"/>
          <w:b/>
          <w:sz w:val="24"/>
          <w:szCs w:val="24"/>
          <w:lang w:val="en-GB"/>
        </w:rPr>
        <w:t>Safety</w:t>
      </w:r>
      <w:r w:rsidRPr="00A96CFE">
        <w:rPr>
          <w:rFonts w:asciiTheme="majorHAnsi" w:hAnsiTheme="majorHAnsi" w:cstheme="minorHAnsi"/>
          <w:b/>
          <w:sz w:val="24"/>
          <w:szCs w:val="24"/>
        </w:rPr>
        <w:t xml:space="preserve"> </w:t>
      </w:r>
      <w:r w:rsidRPr="00A96CFE">
        <w:rPr>
          <w:rFonts w:asciiTheme="majorHAnsi" w:hAnsiTheme="majorHAnsi" w:cstheme="minorHAnsi"/>
          <w:b/>
          <w:sz w:val="24"/>
          <w:szCs w:val="24"/>
          <w:lang w:val="en-GB"/>
        </w:rPr>
        <w:t>Identification</w:t>
      </w:r>
      <w:r w:rsidRPr="00A96CFE">
        <w:rPr>
          <w:rFonts w:asciiTheme="majorHAnsi" w:hAnsiTheme="majorHAnsi" w:cstheme="minorHAnsi"/>
          <w:b/>
          <w:sz w:val="24"/>
          <w:szCs w:val="24"/>
        </w:rPr>
        <w:t xml:space="preserve"> – </w:t>
      </w:r>
      <w:r w:rsidRPr="00A96CFE">
        <w:rPr>
          <w:rFonts w:asciiTheme="majorHAnsi" w:hAnsiTheme="majorHAnsi" w:cstheme="minorHAnsi"/>
          <w:b/>
          <w:sz w:val="24"/>
          <w:szCs w:val="24"/>
          <w:lang w:val="en-GB"/>
        </w:rPr>
        <w:t>Escape</w:t>
      </w:r>
      <w:r w:rsidRPr="00A96CFE">
        <w:rPr>
          <w:rFonts w:asciiTheme="majorHAnsi" w:hAnsiTheme="majorHAnsi" w:cstheme="minorHAnsi"/>
          <w:b/>
          <w:sz w:val="24"/>
          <w:szCs w:val="24"/>
        </w:rPr>
        <w:t xml:space="preserve"> </w:t>
      </w:r>
      <w:r w:rsidRPr="00A96CFE">
        <w:rPr>
          <w:rFonts w:asciiTheme="majorHAnsi" w:hAnsiTheme="majorHAnsi" w:cstheme="minorHAnsi"/>
          <w:b/>
          <w:sz w:val="24"/>
          <w:szCs w:val="24"/>
          <w:lang w:val="en-GB"/>
        </w:rPr>
        <w:t>and</w:t>
      </w:r>
      <w:r w:rsidRPr="00A96CFE">
        <w:rPr>
          <w:rFonts w:asciiTheme="majorHAnsi" w:hAnsiTheme="majorHAnsi" w:cstheme="minorHAnsi"/>
          <w:b/>
          <w:sz w:val="24"/>
          <w:szCs w:val="24"/>
        </w:rPr>
        <w:t xml:space="preserve"> </w:t>
      </w:r>
      <w:r w:rsidRPr="00A96CFE">
        <w:rPr>
          <w:rFonts w:asciiTheme="majorHAnsi" w:hAnsiTheme="majorHAnsi" w:cstheme="minorHAnsi"/>
          <w:b/>
          <w:sz w:val="24"/>
          <w:szCs w:val="24"/>
          <w:lang w:val="en-GB"/>
        </w:rPr>
        <w:t>evacuation</w:t>
      </w:r>
      <w:r w:rsidRPr="00A96CFE">
        <w:rPr>
          <w:rFonts w:asciiTheme="majorHAnsi" w:hAnsiTheme="majorHAnsi" w:cstheme="minorHAnsi"/>
          <w:b/>
          <w:sz w:val="24"/>
          <w:szCs w:val="24"/>
        </w:rPr>
        <w:t xml:space="preserve"> </w:t>
      </w:r>
      <w:r w:rsidRPr="00A96CFE">
        <w:rPr>
          <w:rFonts w:asciiTheme="majorHAnsi" w:hAnsiTheme="majorHAnsi" w:cstheme="minorHAnsi"/>
          <w:b/>
          <w:sz w:val="24"/>
          <w:szCs w:val="24"/>
          <w:lang w:val="en-GB"/>
        </w:rPr>
        <w:t>plan</w:t>
      </w:r>
      <w:r w:rsidRPr="00A96CFE">
        <w:rPr>
          <w:rFonts w:asciiTheme="majorHAnsi" w:hAnsiTheme="majorHAnsi" w:cstheme="minorHAnsi"/>
          <w:b/>
          <w:sz w:val="24"/>
          <w:szCs w:val="24"/>
        </w:rPr>
        <w:t xml:space="preserve"> </w:t>
      </w:r>
      <w:r w:rsidRPr="00A96CFE">
        <w:rPr>
          <w:rFonts w:asciiTheme="majorHAnsi" w:hAnsiTheme="majorHAnsi" w:cstheme="minorHAnsi"/>
          <w:b/>
          <w:sz w:val="24"/>
          <w:szCs w:val="24"/>
          <w:lang w:val="en-GB"/>
        </w:rPr>
        <w:t>signs</w:t>
      </w:r>
      <w:r w:rsidRPr="00A96CFE">
        <w:rPr>
          <w:rFonts w:asciiTheme="majorHAnsi" w:hAnsiTheme="majorHAnsi" w:cstheme="minorHAnsi"/>
          <w:b/>
          <w:sz w:val="24"/>
          <w:szCs w:val="24"/>
        </w:rPr>
        <w:t>»</w:t>
      </w:r>
      <w:r w:rsidRPr="00A96CFE">
        <w:rPr>
          <w:rFonts w:asciiTheme="majorHAnsi" w:hAnsiTheme="majorHAnsi" w:cstheme="minorHAnsi"/>
          <w:sz w:val="24"/>
          <w:szCs w:val="24"/>
        </w:rPr>
        <w:t>, όπως κάθε φορά ισχύει.</w:t>
      </w:r>
    </w:p>
    <w:p w:rsidR="00CE40FE" w:rsidRPr="00A96CFE" w:rsidRDefault="009053C5" w:rsidP="008865B3">
      <w:pPr>
        <w:shd w:val="clear" w:color="auto" w:fill="FFFFFF"/>
        <w:spacing w:after="0"/>
        <w:jc w:val="both"/>
        <w:rPr>
          <w:rFonts w:asciiTheme="majorHAnsi" w:hAnsiTheme="majorHAnsi" w:cstheme="minorHAnsi"/>
          <w:sz w:val="24"/>
          <w:szCs w:val="24"/>
        </w:rPr>
      </w:pPr>
      <w:r w:rsidRPr="00A96CFE">
        <w:rPr>
          <w:rFonts w:asciiTheme="majorHAnsi" w:hAnsiTheme="majorHAnsi" w:cstheme="minorHAnsi"/>
          <w:sz w:val="24"/>
          <w:szCs w:val="24"/>
        </w:rPr>
        <w:t>Τα φωτιστικά σώματα ασφαλείας θα πρέπει να είναι σύμφωνα με το άρθρο 5 και τις παρ.1, 2 της 15/2014 Πυρ/</w:t>
      </w:r>
      <w:proofErr w:type="spellStart"/>
      <w:r w:rsidRPr="00A96CFE">
        <w:rPr>
          <w:rFonts w:asciiTheme="majorHAnsi" w:hAnsiTheme="majorHAnsi" w:cstheme="minorHAnsi"/>
          <w:sz w:val="24"/>
          <w:szCs w:val="24"/>
        </w:rPr>
        <w:t>κ</w:t>
      </w:r>
      <w:r w:rsidR="00756DDF" w:rsidRPr="00A96CFE">
        <w:rPr>
          <w:rFonts w:asciiTheme="majorHAnsi" w:hAnsiTheme="majorHAnsi" w:cstheme="minorHAnsi"/>
          <w:sz w:val="24"/>
          <w:szCs w:val="24"/>
        </w:rPr>
        <w:t>ή</w:t>
      </w:r>
      <w:r w:rsidRPr="00A96CFE">
        <w:rPr>
          <w:rFonts w:asciiTheme="majorHAnsi" w:hAnsiTheme="majorHAnsi" w:cstheme="minorHAnsi"/>
          <w:sz w:val="24"/>
          <w:szCs w:val="24"/>
        </w:rPr>
        <w:t>ς</w:t>
      </w:r>
      <w:proofErr w:type="spellEnd"/>
      <w:r w:rsidRPr="00A96CFE">
        <w:rPr>
          <w:rFonts w:asciiTheme="majorHAnsi" w:hAnsiTheme="majorHAnsi" w:cstheme="minorHAnsi"/>
          <w:sz w:val="24"/>
          <w:szCs w:val="24"/>
        </w:rPr>
        <w:t xml:space="preserve"> Διάταξης.</w:t>
      </w:r>
      <w:r w:rsidR="008865B3" w:rsidRPr="00A96CFE">
        <w:rPr>
          <w:rFonts w:asciiTheme="majorHAnsi" w:hAnsiTheme="majorHAnsi" w:cstheme="minorHAnsi"/>
          <w:sz w:val="24"/>
          <w:szCs w:val="24"/>
        </w:rPr>
        <w:t xml:space="preserve"> </w:t>
      </w:r>
      <w:r w:rsidRPr="00A96CFE">
        <w:rPr>
          <w:rFonts w:asciiTheme="majorHAnsi" w:hAnsiTheme="majorHAnsi" w:cstheme="minorHAnsi"/>
          <w:sz w:val="24"/>
          <w:szCs w:val="24"/>
        </w:rPr>
        <w:t xml:space="preserve">Θα τοποθετηθούν σε επίκαιρες θέσεις όπως πάνω από τις πόρτες εξόδου, </w:t>
      </w:r>
      <w:proofErr w:type="spellStart"/>
      <w:r w:rsidRPr="00A96CFE">
        <w:rPr>
          <w:rFonts w:asciiTheme="majorHAnsi" w:hAnsiTheme="majorHAnsi" w:cstheme="minorHAnsi"/>
          <w:sz w:val="24"/>
          <w:szCs w:val="24"/>
        </w:rPr>
        <w:t>επίτοιχα</w:t>
      </w:r>
      <w:proofErr w:type="spellEnd"/>
      <w:r w:rsidRPr="00A96CFE">
        <w:rPr>
          <w:rFonts w:asciiTheme="majorHAnsi" w:hAnsiTheme="majorHAnsi" w:cstheme="minorHAnsi"/>
          <w:sz w:val="24"/>
          <w:szCs w:val="24"/>
        </w:rPr>
        <w:t xml:space="preserve"> και θα διαθέτουν λάμπες με τεχνολογία </w:t>
      </w:r>
      <w:r w:rsidRPr="00A96CFE">
        <w:rPr>
          <w:rFonts w:asciiTheme="majorHAnsi" w:hAnsiTheme="majorHAnsi" w:cstheme="minorHAnsi"/>
          <w:i/>
          <w:sz w:val="24"/>
          <w:szCs w:val="24"/>
        </w:rPr>
        <w:t>LED</w:t>
      </w:r>
      <w:r w:rsidRPr="00A96CFE">
        <w:rPr>
          <w:rFonts w:asciiTheme="majorHAnsi" w:hAnsiTheme="majorHAnsi" w:cstheme="minorHAnsi"/>
          <w:sz w:val="24"/>
          <w:szCs w:val="24"/>
        </w:rPr>
        <w:t>. Θα συνδέονται με το ηλεκτρικό δίκτυο της Δ.Ε.Η. και θα διαθέτουν μπαταρία που σε περίπτωση διακοπής ρεύματος θα είναι ικανά να φωτίσουν τον καλυπτόμενο χώρο μέχρι την εκκένωσή του και για ελάχιστο χρονικό διάστημα 90 λεπτών. Στα φωτιστικά θα επικολληθούν κατάλληλα σύμβολα ένδειξης εξόδου διαφυγής</w:t>
      </w:r>
      <w:r w:rsidR="008865B3" w:rsidRPr="00A96CFE">
        <w:rPr>
          <w:rFonts w:asciiTheme="majorHAnsi" w:hAnsiTheme="majorHAnsi" w:cstheme="minorHAnsi"/>
          <w:sz w:val="24"/>
          <w:szCs w:val="24"/>
        </w:rPr>
        <w:t>.</w:t>
      </w:r>
      <w:r w:rsidRPr="00A96CFE">
        <w:rPr>
          <w:rFonts w:asciiTheme="majorHAnsi" w:hAnsiTheme="majorHAnsi" w:cstheme="minorHAnsi"/>
          <w:sz w:val="24"/>
          <w:szCs w:val="24"/>
        </w:rPr>
        <w:t xml:space="preserve"> Ο εξοπλισμός των φωτιστικών σωμάτων θα φέρει τ’ αντίστοιχα πιστοποιητικά και τις αντίστοιχες δηλώσεις συμμόρφωσης. Τα φωτιστικά ασφαλείας θα πρέπει να είναι σύμφωνα και με το </w:t>
      </w:r>
      <w:r w:rsidRPr="00A96CFE">
        <w:rPr>
          <w:rFonts w:asciiTheme="majorHAnsi" w:hAnsiTheme="majorHAnsi" w:cstheme="minorHAnsi"/>
          <w:i/>
          <w:sz w:val="24"/>
          <w:szCs w:val="24"/>
        </w:rPr>
        <w:t>ΕΝ</w:t>
      </w:r>
      <w:r w:rsidRPr="00A96CFE">
        <w:rPr>
          <w:rFonts w:asciiTheme="majorHAnsi" w:hAnsiTheme="majorHAnsi" w:cstheme="minorHAnsi"/>
          <w:sz w:val="24"/>
          <w:szCs w:val="24"/>
        </w:rPr>
        <w:t xml:space="preserve"> 60598 και να διαθέτουν βαθμό στεγανότητας </w:t>
      </w:r>
      <w:r w:rsidRPr="00A96CFE">
        <w:rPr>
          <w:rFonts w:asciiTheme="majorHAnsi" w:hAnsiTheme="majorHAnsi" w:cstheme="minorHAnsi"/>
          <w:i/>
          <w:sz w:val="24"/>
          <w:szCs w:val="24"/>
        </w:rPr>
        <w:t>ΙP</w:t>
      </w:r>
      <w:r w:rsidRPr="00A96CFE">
        <w:rPr>
          <w:rFonts w:asciiTheme="majorHAnsi" w:hAnsiTheme="majorHAnsi" w:cstheme="minorHAnsi"/>
          <w:sz w:val="24"/>
          <w:szCs w:val="24"/>
        </w:rPr>
        <w:t>65 και να έχουν αυτονομία 180 λεπτά.</w:t>
      </w:r>
    </w:p>
    <w:p w:rsidR="009053C5" w:rsidRPr="00A96CFE" w:rsidRDefault="009053C5" w:rsidP="00705273">
      <w:pPr>
        <w:pStyle w:val="a3"/>
        <w:spacing w:after="0" w:line="360" w:lineRule="auto"/>
        <w:ind w:left="0"/>
        <w:jc w:val="both"/>
        <w:rPr>
          <w:rFonts w:asciiTheme="majorHAnsi" w:hAnsiTheme="majorHAnsi"/>
          <w:sz w:val="24"/>
          <w:szCs w:val="24"/>
        </w:rPr>
      </w:pPr>
    </w:p>
    <w:p w:rsidR="008D5FE2" w:rsidRPr="00A96CFE" w:rsidRDefault="008D5FE2" w:rsidP="00705273">
      <w:pPr>
        <w:pStyle w:val="a3"/>
        <w:numPr>
          <w:ilvl w:val="0"/>
          <w:numId w:val="1"/>
        </w:numPr>
        <w:spacing w:after="0" w:line="360" w:lineRule="auto"/>
        <w:ind w:left="0" w:firstLine="0"/>
        <w:jc w:val="both"/>
        <w:rPr>
          <w:rFonts w:asciiTheme="majorHAnsi" w:hAnsiTheme="majorHAnsi"/>
          <w:b/>
          <w:sz w:val="24"/>
          <w:szCs w:val="24"/>
          <w:u w:val="single"/>
        </w:rPr>
      </w:pPr>
      <w:r w:rsidRPr="00A96CFE">
        <w:rPr>
          <w:rFonts w:asciiTheme="majorHAnsi" w:hAnsiTheme="majorHAnsi"/>
          <w:b/>
          <w:sz w:val="24"/>
          <w:szCs w:val="24"/>
          <w:u w:val="single"/>
        </w:rPr>
        <w:t>ΧΕΙΡΟΚΙΝΗΤ</w:t>
      </w:r>
      <w:r w:rsidR="006B16D0" w:rsidRPr="00A96CFE">
        <w:rPr>
          <w:rFonts w:asciiTheme="majorHAnsi" w:hAnsiTheme="majorHAnsi"/>
          <w:b/>
          <w:sz w:val="24"/>
          <w:szCs w:val="24"/>
          <w:u w:val="single"/>
        </w:rPr>
        <w:t>Ο</w:t>
      </w:r>
      <w:r w:rsidRPr="00A96CFE">
        <w:rPr>
          <w:rFonts w:asciiTheme="majorHAnsi" w:hAnsiTheme="majorHAnsi"/>
          <w:b/>
          <w:sz w:val="24"/>
          <w:szCs w:val="24"/>
          <w:u w:val="single"/>
        </w:rPr>
        <w:t xml:space="preserve"> </w:t>
      </w:r>
      <w:r w:rsidR="006B16D0" w:rsidRPr="00A96CFE">
        <w:rPr>
          <w:rFonts w:asciiTheme="majorHAnsi" w:hAnsiTheme="majorHAnsi"/>
          <w:b/>
          <w:sz w:val="24"/>
          <w:szCs w:val="24"/>
          <w:u w:val="single"/>
        </w:rPr>
        <w:t xml:space="preserve">ΣΥΣΤΗΜΑ </w:t>
      </w:r>
      <w:r w:rsidRPr="00A96CFE">
        <w:rPr>
          <w:rFonts w:asciiTheme="majorHAnsi" w:hAnsiTheme="majorHAnsi"/>
          <w:b/>
          <w:sz w:val="24"/>
          <w:szCs w:val="24"/>
          <w:u w:val="single"/>
        </w:rPr>
        <w:t>ΑΝΑΓΓΕΛΙΑΣ ΠΥΡΚΑΓΙΑΣ</w:t>
      </w:r>
    </w:p>
    <w:p w:rsidR="005C05A9" w:rsidRPr="00A96CFE" w:rsidRDefault="005C05A9" w:rsidP="00500579">
      <w:pPr>
        <w:shd w:val="clear" w:color="auto" w:fill="FFFFFF"/>
        <w:spacing w:after="0" w:line="360" w:lineRule="auto"/>
        <w:jc w:val="center"/>
        <w:rPr>
          <w:rFonts w:asciiTheme="majorHAnsi" w:hAnsiTheme="majorHAnsi" w:cstheme="minorHAnsi"/>
          <w:sz w:val="24"/>
          <w:szCs w:val="24"/>
        </w:rPr>
      </w:pPr>
      <w:r w:rsidRPr="00A96CFE">
        <w:rPr>
          <w:rFonts w:asciiTheme="majorHAnsi" w:hAnsiTheme="majorHAnsi" w:cstheme="minorHAnsi"/>
          <w:noProof/>
          <w:sz w:val="24"/>
          <w:szCs w:val="24"/>
        </w:rPr>
        <w:drawing>
          <wp:inline distT="0" distB="0" distL="0" distR="0">
            <wp:extent cx="1860465" cy="1800000"/>
            <wp:effectExtent l="19050" t="0" r="6435" b="0"/>
            <wp:docPr id="17" name="Εικόνα 5" descr="C:\Users\s.korgolis\Desktop\xlarge_20190718094021_komvio_anagelias_fot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rgolis\Desktop\xlarge_20190718094021_komvio_anagelias_fotias.jpeg"/>
                    <pic:cNvPicPr>
                      <a:picLocks noChangeAspect="1" noChangeArrowheads="1"/>
                    </pic:cNvPicPr>
                  </pic:nvPicPr>
                  <pic:blipFill>
                    <a:blip r:embed="rId10" cstate="print"/>
                    <a:srcRect/>
                    <a:stretch>
                      <a:fillRect/>
                    </a:stretch>
                  </pic:blipFill>
                  <pic:spPr bwMode="auto">
                    <a:xfrm>
                      <a:off x="0" y="0"/>
                      <a:ext cx="1860465" cy="1800000"/>
                    </a:xfrm>
                    <a:prstGeom prst="rect">
                      <a:avLst/>
                    </a:prstGeom>
                    <a:noFill/>
                    <a:ln w="9525">
                      <a:noFill/>
                      <a:miter lim="800000"/>
                      <a:headEnd/>
                      <a:tailEnd/>
                    </a:ln>
                  </pic:spPr>
                </pic:pic>
              </a:graphicData>
            </a:graphic>
          </wp:inline>
        </w:drawing>
      </w:r>
      <w:r w:rsidRPr="00A96CFE">
        <w:rPr>
          <w:rFonts w:asciiTheme="majorHAnsi" w:hAnsiTheme="majorHAnsi" w:cstheme="minorHAnsi"/>
          <w:noProof/>
          <w:sz w:val="24"/>
          <w:szCs w:val="24"/>
        </w:rPr>
        <w:drawing>
          <wp:inline distT="0" distB="0" distL="0" distR="0">
            <wp:extent cx="1728477" cy="1800000"/>
            <wp:effectExtent l="19050" t="0" r="5073" b="0"/>
            <wp:docPr id="16" name="Εικόνα 4" descr="C:\Users\s.korgolis\Desktop\20210303121936_seirina_esoterikou_chorou_me_led_24v_112db_kokkini_ds_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orgolis\Desktop\20210303121936_seirina_esoterikou_chorou_me_led_24v_112db_kokkini_ds_82.jpeg"/>
                    <pic:cNvPicPr>
                      <a:picLocks noChangeAspect="1" noChangeArrowheads="1"/>
                    </pic:cNvPicPr>
                  </pic:nvPicPr>
                  <pic:blipFill>
                    <a:blip r:embed="rId11" cstate="print"/>
                    <a:srcRect/>
                    <a:stretch>
                      <a:fillRect/>
                    </a:stretch>
                  </pic:blipFill>
                  <pic:spPr bwMode="auto">
                    <a:xfrm>
                      <a:off x="0" y="0"/>
                      <a:ext cx="1728477" cy="1800000"/>
                    </a:xfrm>
                    <a:prstGeom prst="rect">
                      <a:avLst/>
                    </a:prstGeom>
                    <a:noFill/>
                    <a:ln w="9525">
                      <a:noFill/>
                      <a:miter lim="800000"/>
                      <a:headEnd/>
                      <a:tailEnd/>
                    </a:ln>
                  </pic:spPr>
                </pic:pic>
              </a:graphicData>
            </a:graphic>
          </wp:inline>
        </w:drawing>
      </w:r>
    </w:p>
    <w:p w:rsidR="006B16D0" w:rsidRPr="00A96CFE" w:rsidRDefault="006B16D0" w:rsidP="00557D59">
      <w:pPr>
        <w:shd w:val="clear" w:color="auto" w:fill="FFFFFF"/>
        <w:spacing w:after="0"/>
        <w:jc w:val="both"/>
        <w:rPr>
          <w:rFonts w:asciiTheme="majorHAnsi" w:hAnsiTheme="majorHAnsi" w:cstheme="minorHAnsi"/>
          <w:sz w:val="24"/>
          <w:szCs w:val="24"/>
        </w:rPr>
      </w:pPr>
      <w:r w:rsidRPr="00A96CFE">
        <w:rPr>
          <w:rFonts w:asciiTheme="majorHAnsi" w:hAnsiTheme="majorHAnsi" w:cstheme="minorHAnsi"/>
          <w:sz w:val="24"/>
          <w:szCs w:val="24"/>
        </w:rPr>
        <w:t xml:space="preserve">Η μελέτη, σχεδίαση και εγκατάσταση των </w:t>
      </w:r>
      <w:r w:rsidR="008D5FE2" w:rsidRPr="00A96CFE">
        <w:rPr>
          <w:rFonts w:asciiTheme="majorHAnsi" w:hAnsiTheme="majorHAnsi" w:cstheme="minorHAnsi"/>
          <w:sz w:val="24"/>
          <w:szCs w:val="24"/>
        </w:rPr>
        <w:t>χειροκίνητ</w:t>
      </w:r>
      <w:r w:rsidRPr="00A96CFE">
        <w:rPr>
          <w:rFonts w:asciiTheme="majorHAnsi" w:hAnsiTheme="majorHAnsi" w:cstheme="minorHAnsi"/>
          <w:sz w:val="24"/>
          <w:szCs w:val="24"/>
        </w:rPr>
        <w:t>ων</w:t>
      </w:r>
      <w:r w:rsidR="008D5FE2" w:rsidRPr="00A96CFE">
        <w:rPr>
          <w:rFonts w:asciiTheme="majorHAnsi" w:hAnsiTheme="majorHAnsi" w:cstheme="minorHAnsi"/>
          <w:sz w:val="24"/>
          <w:szCs w:val="24"/>
        </w:rPr>
        <w:t xml:space="preserve"> </w:t>
      </w:r>
      <w:r w:rsidRPr="00A96CFE">
        <w:rPr>
          <w:rFonts w:asciiTheme="majorHAnsi" w:hAnsiTheme="majorHAnsi" w:cstheme="minorHAnsi"/>
          <w:sz w:val="24"/>
          <w:szCs w:val="24"/>
        </w:rPr>
        <w:t xml:space="preserve">συστημάτων </w:t>
      </w:r>
      <w:r w:rsidR="008D5FE2" w:rsidRPr="00A96CFE">
        <w:rPr>
          <w:rFonts w:asciiTheme="majorHAnsi" w:hAnsiTheme="majorHAnsi" w:cstheme="minorHAnsi"/>
          <w:sz w:val="24"/>
          <w:szCs w:val="24"/>
        </w:rPr>
        <w:t xml:space="preserve">αναγγελίας πυρκαγιάς </w:t>
      </w:r>
      <w:r w:rsidRPr="00A96CFE">
        <w:rPr>
          <w:rFonts w:asciiTheme="majorHAnsi" w:hAnsiTheme="majorHAnsi" w:cstheme="minorHAnsi"/>
          <w:sz w:val="24"/>
          <w:szCs w:val="24"/>
        </w:rPr>
        <w:t>καθορίζεται από</w:t>
      </w:r>
      <w:r w:rsidR="008D5FE2" w:rsidRPr="00A96CFE">
        <w:rPr>
          <w:rFonts w:asciiTheme="majorHAnsi" w:hAnsiTheme="majorHAnsi" w:cstheme="minorHAnsi"/>
          <w:sz w:val="24"/>
          <w:szCs w:val="24"/>
        </w:rPr>
        <w:t xml:space="preserve"> τ</w:t>
      </w:r>
      <w:r w:rsidRPr="00A96CFE">
        <w:rPr>
          <w:rFonts w:asciiTheme="majorHAnsi" w:hAnsiTheme="majorHAnsi" w:cstheme="minorHAnsi"/>
          <w:sz w:val="24"/>
          <w:szCs w:val="24"/>
        </w:rPr>
        <w:t>α</w:t>
      </w:r>
      <w:r w:rsidR="008D5FE2" w:rsidRPr="00A96CFE">
        <w:rPr>
          <w:rFonts w:asciiTheme="majorHAnsi" w:hAnsiTheme="majorHAnsi" w:cstheme="minorHAnsi"/>
          <w:sz w:val="24"/>
          <w:szCs w:val="24"/>
        </w:rPr>
        <w:t xml:space="preserve"> </w:t>
      </w:r>
      <w:r w:rsidRPr="00A96CFE">
        <w:rPr>
          <w:rFonts w:asciiTheme="majorHAnsi" w:hAnsiTheme="majorHAnsi" w:cstheme="minorHAnsi"/>
          <w:b/>
          <w:sz w:val="24"/>
          <w:szCs w:val="24"/>
        </w:rPr>
        <w:t>Π</w:t>
      </w:r>
      <w:r w:rsidR="008D5FE2" w:rsidRPr="00A96CFE">
        <w:rPr>
          <w:rFonts w:asciiTheme="majorHAnsi" w:hAnsiTheme="majorHAnsi" w:cstheme="minorHAnsi"/>
          <w:b/>
          <w:sz w:val="24"/>
          <w:szCs w:val="24"/>
        </w:rPr>
        <w:t>ρότυπ</w:t>
      </w:r>
      <w:r w:rsidRPr="00A96CFE">
        <w:rPr>
          <w:rFonts w:asciiTheme="majorHAnsi" w:hAnsiTheme="majorHAnsi" w:cstheme="minorHAnsi"/>
          <w:b/>
          <w:sz w:val="24"/>
          <w:szCs w:val="24"/>
        </w:rPr>
        <w:t>α</w:t>
      </w:r>
      <w:r w:rsidR="008D5FE2" w:rsidRPr="00A96CFE">
        <w:rPr>
          <w:rFonts w:asciiTheme="majorHAnsi" w:hAnsiTheme="majorHAnsi" w:cstheme="minorHAnsi"/>
          <w:b/>
          <w:sz w:val="24"/>
          <w:szCs w:val="24"/>
        </w:rPr>
        <w:t xml:space="preserve"> ΕΛΟΤ </w:t>
      </w:r>
      <w:r w:rsidR="008D5FE2" w:rsidRPr="00A96CFE">
        <w:rPr>
          <w:rFonts w:asciiTheme="majorHAnsi" w:hAnsiTheme="majorHAnsi" w:cstheme="minorHAnsi"/>
          <w:b/>
          <w:i/>
          <w:sz w:val="24"/>
          <w:szCs w:val="24"/>
        </w:rPr>
        <w:t>EN</w:t>
      </w:r>
      <w:r w:rsidR="008D5FE2" w:rsidRPr="00A96CFE">
        <w:rPr>
          <w:rFonts w:asciiTheme="majorHAnsi" w:hAnsiTheme="majorHAnsi" w:cstheme="minorHAnsi"/>
          <w:b/>
          <w:sz w:val="24"/>
          <w:szCs w:val="24"/>
        </w:rPr>
        <w:t xml:space="preserve"> 54−11 «Εκκινητές συναγερμού χειρός»</w:t>
      </w:r>
      <w:r w:rsidR="008D5FE2" w:rsidRPr="00A96CFE">
        <w:rPr>
          <w:rFonts w:asciiTheme="majorHAnsi" w:hAnsiTheme="majorHAnsi" w:cstheme="minorHAnsi"/>
          <w:sz w:val="24"/>
          <w:szCs w:val="24"/>
        </w:rPr>
        <w:t xml:space="preserve"> και </w:t>
      </w:r>
      <w:r w:rsidR="008D5FE2" w:rsidRPr="00A96CFE">
        <w:rPr>
          <w:rFonts w:asciiTheme="majorHAnsi" w:hAnsiTheme="majorHAnsi" w:cstheme="minorHAnsi"/>
          <w:b/>
          <w:sz w:val="24"/>
          <w:szCs w:val="24"/>
        </w:rPr>
        <w:t xml:space="preserve">ΕΛΟΤ </w:t>
      </w:r>
      <w:r w:rsidR="008D5FE2" w:rsidRPr="00A96CFE">
        <w:rPr>
          <w:rFonts w:asciiTheme="majorHAnsi" w:hAnsiTheme="majorHAnsi" w:cstheme="minorHAnsi"/>
          <w:b/>
          <w:i/>
          <w:sz w:val="24"/>
          <w:szCs w:val="24"/>
        </w:rPr>
        <w:t>EN</w:t>
      </w:r>
      <w:r w:rsidR="008D5FE2" w:rsidRPr="00A96CFE">
        <w:rPr>
          <w:rFonts w:asciiTheme="majorHAnsi" w:hAnsiTheme="majorHAnsi" w:cstheme="minorHAnsi"/>
          <w:b/>
          <w:sz w:val="24"/>
          <w:szCs w:val="24"/>
        </w:rPr>
        <w:t xml:space="preserve"> 54−23 «Διατάξεις συναγερμού – Οπτικές διατάξεις συναγερμού»</w:t>
      </w:r>
      <w:r w:rsidRPr="00A96CFE">
        <w:rPr>
          <w:rFonts w:asciiTheme="majorHAnsi" w:hAnsiTheme="majorHAnsi" w:cstheme="minorHAnsi"/>
          <w:sz w:val="24"/>
          <w:szCs w:val="24"/>
        </w:rPr>
        <w:t>, όπως κάθε φορά ισχύει</w:t>
      </w:r>
      <w:r w:rsidR="008D5FE2" w:rsidRPr="00A96CFE">
        <w:rPr>
          <w:rFonts w:asciiTheme="majorHAnsi" w:hAnsiTheme="majorHAnsi" w:cstheme="minorHAnsi"/>
          <w:sz w:val="24"/>
          <w:szCs w:val="24"/>
        </w:rPr>
        <w:t>.</w:t>
      </w:r>
    </w:p>
    <w:p w:rsidR="008D5FE2" w:rsidRPr="00A96CFE" w:rsidRDefault="008D5FE2" w:rsidP="00557D59">
      <w:pPr>
        <w:shd w:val="clear" w:color="auto" w:fill="FFFFFF"/>
        <w:spacing w:after="0"/>
        <w:jc w:val="both"/>
        <w:rPr>
          <w:rFonts w:asciiTheme="majorHAnsi" w:hAnsiTheme="majorHAnsi" w:cstheme="minorHAnsi"/>
          <w:sz w:val="24"/>
          <w:szCs w:val="24"/>
        </w:rPr>
      </w:pPr>
      <w:r w:rsidRPr="00A96CFE">
        <w:rPr>
          <w:rFonts w:asciiTheme="majorHAnsi" w:hAnsiTheme="majorHAnsi" w:cstheme="minorHAnsi"/>
          <w:sz w:val="24"/>
          <w:szCs w:val="24"/>
        </w:rPr>
        <w:t xml:space="preserve">Επίσης θα είναι σύμφωνα με τον Ελληνικό Κανονισμό των εσωτερικών ηλεκτρικών εγκαταστάσεων, το πρότυπο ΕΛΟΤ </w:t>
      </w:r>
      <w:r w:rsidRPr="00A96CFE">
        <w:rPr>
          <w:rFonts w:asciiTheme="majorHAnsi" w:hAnsiTheme="majorHAnsi" w:cstheme="minorHAnsi"/>
          <w:i/>
          <w:sz w:val="24"/>
          <w:szCs w:val="24"/>
        </w:rPr>
        <w:t>HD</w:t>
      </w:r>
      <w:r w:rsidRPr="00A96CFE">
        <w:rPr>
          <w:rFonts w:asciiTheme="majorHAnsi" w:hAnsiTheme="majorHAnsi" w:cstheme="minorHAnsi"/>
          <w:sz w:val="24"/>
          <w:szCs w:val="24"/>
        </w:rPr>
        <w:t xml:space="preserve"> 384 και τις απαιτήσεις της Δ.Ε.Η.</w:t>
      </w:r>
    </w:p>
    <w:p w:rsidR="00CE40FE" w:rsidRPr="00A96CFE" w:rsidRDefault="008D5FE2" w:rsidP="00557D59">
      <w:pPr>
        <w:pStyle w:val="a3"/>
        <w:spacing w:after="0"/>
        <w:ind w:left="0"/>
        <w:jc w:val="both"/>
        <w:rPr>
          <w:rFonts w:asciiTheme="majorHAnsi" w:hAnsiTheme="majorHAnsi" w:cstheme="minorHAnsi"/>
          <w:sz w:val="24"/>
          <w:szCs w:val="24"/>
        </w:rPr>
      </w:pPr>
      <w:r w:rsidRPr="00A96CFE">
        <w:rPr>
          <w:rFonts w:asciiTheme="majorHAnsi" w:hAnsiTheme="majorHAnsi" w:cstheme="minorHAnsi"/>
          <w:sz w:val="24"/>
          <w:szCs w:val="24"/>
        </w:rPr>
        <w:t xml:space="preserve">Θα είναι τοποθετημένο σε εμφανή σημεία και κοντά στην έξοδο (σε ύψος 1,40 μ.) έτσι ώστε κανένα σημείο του ορόφου να μην απέχει περισσότερο από 30 μ. Η πίεση του ηλεκτρικού κομβίου μετά από </w:t>
      </w:r>
      <w:r w:rsidRPr="00A96CFE">
        <w:rPr>
          <w:rFonts w:asciiTheme="majorHAnsi" w:hAnsiTheme="majorHAnsi" w:cstheme="minorHAnsi"/>
          <w:sz w:val="24"/>
          <w:szCs w:val="24"/>
        </w:rPr>
        <w:lastRenderedPageBreak/>
        <w:t>το ανέβασμα του καλύμματος θα ενεργοποιεί σειρήνα συναγερμού και θα δίνει το αντίστοιχο σήμα “</w:t>
      </w:r>
      <w:proofErr w:type="spellStart"/>
      <w:r w:rsidRPr="00A96CFE">
        <w:rPr>
          <w:rFonts w:asciiTheme="majorHAnsi" w:hAnsiTheme="majorHAnsi" w:cstheme="minorHAnsi"/>
          <w:i/>
          <w:sz w:val="24"/>
          <w:szCs w:val="24"/>
        </w:rPr>
        <w:t>fire</w:t>
      </w:r>
      <w:proofErr w:type="spellEnd"/>
      <w:r w:rsidRPr="00A96CFE">
        <w:rPr>
          <w:rFonts w:asciiTheme="majorHAnsi" w:hAnsiTheme="majorHAnsi" w:cstheme="minorHAnsi"/>
          <w:sz w:val="24"/>
          <w:szCs w:val="24"/>
        </w:rPr>
        <w:t xml:space="preserve">” στον κεντρικό συμβατικό πίνακα πυρανίχνευσης. Η διάταξη και τα χαρακτηριστικά των συσκευών συναγερμού πρέπει να είναι τέτοια ώστε, να ειδοποιούνται έγκαιρα όλα τα άτομα που βρίσκονται στο κτήριο. Το αρχικά εκπεμπόμενο ηχητικό σήμα πρέπει να είναι κωδικοποιημένο, ώστε να αναγνωρίζεται. Το σήμα αυτό πρέπει ν’ ακολουθείται από συνεχές σήμα συναγερμού διακριτικό και κατανοητό από όλους. Οι καλωδιώσεις θα είναι με καλώδιο 2x1.5 </w:t>
      </w:r>
      <w:r w:rsidRPr="00A96CFE">
        <w:rPr>
          <w:rFonts w:asciiTheme="majorHAnsi" w:hAnsiTheme="majorHAnsi" w:cstheme="minorHAnsi"/>
          <w:i/>
          <w:sz w:val="24"/>
          <w:szCs w:val="24"/>
        </w:rPr>
        <w:t>mm</w:t>
      </w:r>
      <w:r w:rsidRPr="00A96CFE">
        <w:rPr>
          <w:rFonts w:asciiTheme="majorHAnsi" w:hAnsiTheme="majorHAnsi" w:cstheme="minorHAnsi"/>
          <w:sz w:val="24"/>
          <w:szCs w:val="24"/>
          <w:vertAlign w:val="superscript"/>
        </w:rPr>
        <w:t>2</w:t>
      </w:r>
      <w:r w:rsidRPr="00A96CFE">
        <w:rPr>
          <w:rFonts w:asciiTheme="majorHAnsi" w:hAnsiTheme="majorHAnsi" w:cstheme="minorHAnsi"/>
          <w:sz w:val="24"/>
          <w:szCs w:val="24"/>
        </w:rPr>
        <w:t>.</w:t>
      </w:r>
    </w:p>
    <w:p w:rsidR="008D5FE2" w:rsidRPr="00A96CFE" w:rsidRDefault="008D5FE2" w:rsidP="00705273">
      <w:pPr>
        <w:pStyle w:val="a3"/>
        <w:spacing w:after="0" w:line="360" w:lineRule="auto"/>
        <w:ind w:left="0"/>
        <w:jc w:val="both"/>
        <w:rPr>
          <w:rFonts w:asciiTheme="majorHAnsi" w:hAnsiTheme="majorHAnsi"/>
          <w:sz w:val="24"/>
          <w:szCs w:val="24"/>
        </w:rPr>
      </w:pPr>
    </w:p>
    <w:p w:rsidR="00FE3060" w:rsidRPr="00A96CFE" w:rsidRDefault="00FE3060" w:rsidP="00705273">
      <w:pPr>
        <w:shd w:val="clear" w:color="auto" w:fill="FFFFFF"/>
        <w:spacing w:after="0" w:line="360" w:lineRule="auto"/>
        <w:jc w:val="both"/>
        <w:rPr>
          <w:rFonts w:asciiTheme="majorHAnsi" w:eastAsia="Times New Roman" w:hAnsiTheme="majorHAnsi" w:cstheme="minorHAnsi"/>
          <w:sz w:val="24"/>
          <w:szCs w:val="24"/>
          <w:lang w:eastAsia="el-GR"/>
        </w:rPr>
      </w:pPr>
    </w:p>
    <w:p w:rsidR="00CE40FE" w:rsidRPr="00A96CFE" w:rsidRDefault="00814482" w:rsidP="00705273">
      <w:pPr>
        <w:pStyle w:val="a3"/>
        <w:numPr>
          <w:ilvl w:val="0"/>
          <w:numId w:val="1"/>
        </w:numPr>
        <w:spacing w:after="0" w:line="360" w:lineRule="auto"/>
        <w:ind w:left="0" w:firstLine="0"/>
        <w:jc w:val="both"/>
        <w:rPr>
          <w:rFonts w:asciiTheme="majorHAnsi" w:hAnsiTheme="majorHAnsi"/>
          <w:b/>
          <w:sz w:val="24"/>
          <w:szCs w:val="24"/>
          <w:u w:val="single"/>
        </w:rPr>
      </w:pPr>
      <w:r w:rsidRPr="00A96CFE">
        <w:rPr>
          <w:rFonts w:asciiTheme="majorHAnsi" w:hAnsiTheme="majorHAnsi"/>
          <w:b/>
          <w:sz w:val="24"/>
          <w:szCs w:val="24"/>
          <w:u w:val="single"/>
        </w:rPr>
        <w:t>ΚΑΝΑΛΙ &amp; ΚΑΛΩΔΙΩΣΗ ΦΩΤΙΣΜΟΥ ΑΣΦΑΛΕΙΑΣ</w:t>
      </w:r>
    </w:p>
    <w:p w:rsidR="00814482" w:rsidRPr="00A96CFE" w:rsidRDefault="004520AE" w:rsidP="00557D59">
      <w:pPr>
        <w:pStyle w:val="a3"/>
        <w:spacing w:after="0"/>
        <w:ind w:left="0"/>
        <w:jc w:val="both"/>
        <w:rPr>
          <w:rFonts w:asciiTheme="majorHAnsi" w:hAnsiTheme="majorHAnsi"/>
          <w:sz w:val="24"/>
          <w:szCs w:val="24"/>
        </w:rPr>
      </w:pPr>
      <w:r w:rsidRPr="00A96CFE">
        <w:rPr>
          <w:rFonts w:asciiTheme="majorHAnsi" w:hAnsiTheme="majorHAnsi"/>
          <w:sz w:val="24"/>
          <w:szCs w:val="24"/>
        </w:rPr>
        <w:t xml:space="preserve">Η τροφοδότηση του πίνακα πραγματοποιείται με καλώδια τύπου ΝΥΑ, ΝΥΜ και ΝΥΥ, αποτελούν ανεξάρτητο δίκτυο από το υπόλοιπο ηλεκτρικό δίκτυο και ασφαλίζονται με ασφάλεια 10 </w:t>
      </w:r>
      <w:r w:rsidRPr="00A96CFE">
        <w:rPr>
          <w:rFonts w:asciiTheme="majorHAnsi" w:hAnsiTheme="majorHAnsi"/>
          <w:i/>
          <w:sz w:val="24"/>
          <w:szCs w:val="24"/>
        </w:rPr>
        <w:t>Α</w:t>
      </w:r>
      <w:r w:rsidRPr="00A96CFE">
        <w:rPr>
          <w:rFonts w:asciiTheme="majorHAnsi" w:hAnsiTheme="majorHAnsi"/>
          <w:sz w:val="24"/>
          <w:szCs w:val="24"/>
        </w:rPr>
        <w:t xml:space="preserve">. Οι καλωδίωση θα είναι κατάλληλης διάστασης και θα συνδέει τις συσκευές με τον κεντρικό πίνακα. Θα τοποθετηθεί σε ειδικά πλαστικά κανάλια με τα στηρίγματά τους στους τοίχους. </w:t>
      </w:r>
      <w:r w:rsidR="003E4443" w:rsidRPr="00A96CFE">
        <w:rPr>
          <w:rFonts w:asciiTheme="majorHAnsi" w:hAnsiTheme="majorHAnsi"/>
          <w:sz w:val="24"/>
          <w:szCs w:val="24"/>
        </w:rPr>
        <w:t xml:space="preserve">Η καλωδίωση θα είναι πυράντοχη ενδεικτικού τύπου </w:t>
      </w:r>
      <w:r w:rsidR="003E4443" w:rsidRPr="00A96CFE">
        <w:rPr>
          <w:rFonts w:asciiTheme="majorHAnsi" w:hAnsiTheme="majorHAnsi"/>
          <w:i/>
          <w:sz w:val="24"/>
          <w:szCs w:val="24"/>
          <w:lang w:val="en-GB"/>
        </w:rPr>
        <w:t>NHXCH</w:t>
      </w:r>
      <w:r w:rsidR="003E4443" w:rsidRPr="00A96CFE">
        <w:rPr>
          <w:rFonts w:asciiTheme="majorHAnsi" w:hAnsiTheme="majorHAnsi"/>
          <w:i/>
          <w:sz w:val="24"/>
          <w:szCs w:val="24"/>
        </w:rPr>
        <w:t xml:space="preserve"> </w:t>
      </w:r>
      <w:r w:rsidR="003E4443" w:rsidRPr="00A96CFE">
        <w:rPr>
          <w:rFonts w:asciiTheme="majorHAnsi" w:hAnsiTheme="majorHAnsi"/>
          <w:i/>
          <w:sz w:val="24"/>
          <w:szCs w:val="24"/>
          <w:lang w:val="en-GB"/>
        </w:rPr>
        <w:t>FE</w:t>
      </w:r>
      <w:r w:rsidR="003E4443" w:rsidRPr="00A96CFE">
        <w:rPr>
          <w:rFonts w:asciiTheme="majorHAnsi" w:hAnsiTheme="majorHAnsi"/>
          <w:sz w:val="24"/>
          <w:szCs w:val="24"/>
        </w:rPr>
        <w:t xml:space="preserve">180/30 ή ισοδύναμου. Γενικά, θα εφαρμοσθούν οι απαιτήσεις που θέτει το πρότυπο ΕΛΟΤ </w:t>
      </w:r>
      <w:r w:rsidR="003E4443" w:rsidRPr="00A96CFE">
        <w:rPr>
          <w:rFonts w:asciiTheme="majorHAnsi" w:hAnsiTheme="majorHAnsi"/>
          <w:i/>
          <w:sz w:val="24"/>
          <w:szCs w:val="24"/>
        </w:rPr>
        <w:t>ΕΝ</w:t>
      </w:r>
      <w:r w:rsidR="00EC6E21" w:rsidRPr="00A96CFE">
        <w:rPr>
          <w:rFonts w:asciiTheme="majorHAnsi" w:hAnsiTheme="majorHAnsi"/>
          <w:sz w:val="24"/>
          <w:szCs w:val="24"/>
        </w:rPr>
        <w:t xml:space="preserve"> </w:t>
      </w:r>
      <w:r w:rsidR="003E4443" w:rsidRPr="00A96CFE">
        <w:rPr>
          <w:rFonts w:asciiTheme="majorHAnsi" w:hAnsiTheme="majorHAnsi"/>
          <w:sz w:val="24"/>
          <w:szCs w:val="24"/>
        </w:rPr>
        <w:t>54, μέρος 14.</w:t>
      </w:r>
    </w:p>
    <w:p w:rsidR="000F57E6" w:rsidRPr="00A96CFE" w:rsidRDefault="000F57E6" w:rsidP="000F57E6">
      <w:pPr>
        <w:pStyle w:val="a3"/>
        <w:spacing w:after="0" w:line="360" w:lineRule="auto"/>
        <w:ind w:left="0"/>
        <w:jc w:val="both"/>
        <w:rPr>
          <w:rFonts w:asciiTheme="majorHAnsi" w:hAnsiTheme="majorHAnsi"/>
          <w:sz w:val="24"/>
          <w:szCs w:val="24"/>
        </w:rPr>
      </w:pPr>
    </w:p>
    <w:p w:rsidR="00926794" w:rsidRPr="00A96CFE" w:rsidRDefault="00926794" w:rsidP="00926794">
      <w:pPr>
        <w:pStyle w:val="a3"/>
        <w:numPr>
          <w:ilvl w:val="0"/>
          <w:numId w:val="1"/>
        </w:numPr>
        <w:spacing w:after="0" w:line="360" w:lineRule="auto"/>
        <w:ind w:hanging="720"/>
        <w:jc w:val="both"/>
        <w:rPr>
          <w:rFonts w:asciiTheme="majorHAnsi" w:hAnsiTheme="majorHAnsi"/>
          <w:b/>
          <w:sz w:val="24"/>
          <w:szCs w:val="24"/>
          <w:u w:val="single"/>
        </w:rPr>
      </w:pPr>
      <w:r w:rsidRPr="00A96CFE">
        <w:rPr>
          <w:rFonts w:asciiTheme="majorHAnsi" w:hAnsiTheme="majorHAnsi"/>
          <w:b/>
          <w:sz w:val="24"/>
          <w:szCs w:val="24"/>
          <w:u w:val="single"/>
        </w:rPr>
        <w:t xml:space="preserve">ΦΟΡΗΤΟΣ ΠΥΡΟΣΒΕΣΤΗΡΑΣ ΞΗΡΗΣ ΣΚΟΝΗΣ 6 </w:t>
      </w:r>
      <w:r w:rsidRPr="00A96CFE">
        <w:rPr>
          <w:rFonts w:asciiTheme="majorHAnsi" w:hAnsiTheme="majorHAnsi"/>
          <w:b/>
          <w:i/>
          <w:sz w:val="24"/>
          <w:szCs w:val="24"/>
          <w:u w:val="single"/>
          <w:lang w:val="en-GB"/>
        </w:rPr>
        <w:t>kg</w:t>
      </w:r>
      <w:r w:rsidRPr="00A96CFE">
        <w:rPr>
          <w:rFonts w:asciiTheme="majorHAnsi" w:hAnsiTheme="majorHAnsi"/>
          <w:b/>
          <w:sz w:val="24"/>
          <w:szCs w:val="24"/>
          <w:u w:val="single"/>
        </w:rPr>
        <w:t xml:space="preserve"> (</w:t>
      </w:r>
      <w:r w:rsidRPr="00A96CFE">
        <w:rPr>
          <w:rFonts w:asciiTheme="majorHAnsi" w:hAnsiTheme="majorHAnsi"/>
          <w:b/>
          <w:i/>
          <w:sz w:val="24"/>
          <w:szCs w:val="24"/>
          <w:u w:val="single"/>
          <w:lang w:val="en-GB"/>
        </w:rPr>
        <w:t>PA</w:t>
      </w:r>
      <w:r w:rsidRPr="00A96CFE">
        <w:rPr>
          <w:rFonts w:asciiTheme="majorHAnsi" w:hAnsiTheme="majorHAnsi"/>
          <w:b/>
          <w:sz w:val="24"/>
          <w:szCs w:val="24"/>
          <w:u w:val="single"/>
        </w:rPr>
        <w:t xml:space="preserve">-6) </w:t>
      </w:r>
      <w:r w:rsidRPr="00A96CFE">
        <w:rPr>
          <w:rFonts w:asciiTheme="majorHAnsi" w:hAnsiTheme="majorHAnsi"/>
          <w:b/>
          <w:i/>
          <w:sz w:val="24"/>
          <w:szCs w:val="24"/>
          <w:u w:val="single"/>
          <w:lang w:val="en-GB"/>
        </w:rPr>
        <w:t>ABC</w:t>
      </w:r>
      <w:r w:rsidRPr="00A96CFE">
        <w:rPr>
          <w:rFonts w:asciiTheme="majorHAnsi" w:hAnsiTheme="majorHAnsi"/>
          <w:b/>
          <w:sz w:val="24"/>
          <w:szCs w:val="24"/>
          <w:u w:val="single"/>
        </w:rPr>
        <w:t>40</w:t>
      </w:r>
    </w:p>
    <w:p w:rsidR="00926794" w:rsidRPr="00A96CFE" w:rsidRDefault="00926794" w:rsidP="00926794">
      <w:pPr>
        <w:spacing w:after="0" w:line="360" w:lineRule="auto"/>
        <w:jc w:val="center"/>
        <w:rPr>
          <w:rFonts w:asciiTheme="majorHAnsi" w:hAnsiTheme="majorHAnsi"/>
          <w:sz w:val="24"/>
          <w:szCs w:val="24"/>
        </w:rPr>
      </w:pPr>
      <w:r w:rsidRPr="00A96CFE">
        <w:rPr>
          <w:rFonts w:asciiTheme="majorHAnsi" w:hAnsiTheme="majorHAnsi"/>
          <w:noProof/>
          <w:sz w:val="24"/>
          <w:szCs w:val="24"/>
        </w:rPr>
        <w:drawing>
          <wp:inline distT="0" distB="0" distL="0" distR="0">
            <wp:extent cx="1800225" cy="1800225"/>
            <wp:effectExtent l="19050" t="0" r="9525" b="0"/>
            <wp:docPr id="4" name="Εικόνα 2" descr="pirosvestiras-6kg-skonis-ab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rosvestiras-6kg-skonis-abc40"/>
                    <pic:cNvPicPr>
                      <a:picLocks noChangeAspect="1" noChangeArrowheads="1"/>
                    </pic:cNvPicPr>
                  </pic:nvPicPr>
                  <pic:blipFill>
                    <a:blip r:embed="rId12" cstate="print"/>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p w:rsidR="00FF2728" w:rsidRPr="00A96CFE" w:rsidRDefault="00926794" w:rsidP="00926794">
      <w:pPr>
        <w:spacing w:after="0"/>
        <w:jc w:val="both"/>
        <w:rPr>
          <w:rFonts w:asciiTheme="majorHAnsi" w:hAnsiTheme="majorHAnsi"/>
          <w:sz w:val="24"/>
          <w:szCs w:val="24"/>
        </w:rPr>
      </w:pPr>
      <w:r w:rsidRPr="00A96CFE">
        <w:rPr>
          <w:rFonts w:asciiTheme="majorHAnsi" w:hAnsiTheme="majorHAnsi"/>
          <w:sz w:val="24"/>
          <w:szCs w:val="24"/>
        </w:rPr>
        <w:t xml:space="preserve">Ο φορητός πυροσβεστήρας ξηρής σκόνης πρέπει να ικανοποιεί τις απαιτήσεις του </w:t>
      </w:r>
      <w:r w:rsidRPr="00A96CFE">
        <w:rPr>
          <w:rFonts w:asciiTheme="majorHAnsi" w:hAnsiTheme="majorHAnsi"/>
          <w:b/>
          <w:sz w:val="24"/>
          <w:szCs w:val="24"/>
        </w:rPr>
        <w:t xml:space="preserve">ΕΛΟΤ </w:t>
      </w:r>
      <w:r w:rsidRPr="00A96CFE">
        <w:rPr>
          <w:rFonts w:asciiTheme="majorHAnsi" w:hAnsiTheme="majorHAnsi"/>
          <w:b/>
          <w:i/>
          <w:sz w:val="24"/>
          <w:szCs w:val="24"/>
          <w:lang w:val="en-GB"/>
        </w:rPr>
        <w:t>EN</w:t>
      </w:r>
      <w:r w:rsidRPr="00A96CFE">
        <w:rPr>
          <w:rFonts w:asciiTheme="majorHAnsi" w:hAnsiTheme="majorHAnsi"/>
          <w:b/>
          <w:sz w:val="24"/>
          <w:szCs w:val="24"/>
        </w:rPr>
        <w:t xml:space="preserve"> 3-7</w:t>
      </w:r>
      <w:r w:rsidR="002B67A6" w:rsidRPr="00A96CFE">
        <w:rPr>
          <w:rFonts w:asciiTheme="majorHAnsi" w:hAnsiTheme="majorHAnsi"/>
          <w:b/>
          <w:sz w:val="24"/>
          <w:szCs w:val="24"/>
        </w:rPr>
        <w:t>:</w:t>
      </w:r>
      <w:r w:rsidRPr="00A96CFE">
        <w:rPr>
          <w:rFonts w:asciiTheme="majorHAnsi" w:hAnsiTheme="majorHAnsi"/>
          <w:b/>
          <w:sz w:val="24"/>
          <w:szCs w:val="24"/>
        </w:rPr>
        <w:t xml:space="preserve"> </w:t>
      </w:r>
      <w:r w:rsidR="002B67A6" w:rsidRPr="00A96CFE">
        <w:rPr>
          <w:rFonts w:asciiTheme="majorHAnsi" w:hAnsiTheme="majorHAnsi"/>
          <w:b/>
          <w:sz w:val="24"/>
          <w:szCs w:val="24"/>
        </w:rPr>
        <w:t>«Φορητοί Πυροσβεστήρες – Μέρος 7: Χαρακτηριστικά, απαιτήσεις απόδοσης και μέθοδοι δοκιμής»</w:t>
      </w:r>
      <w:r w:rsidR="002B67A6" w:rsidRPr="00A96CFE">
        <w:rPr>
          <w:rFonts w:asciiTheme="majorHAnsi" w:hAnsiTheme="majorHAnsi"/>
          <w:sz w:val="24"/>
          <w:szCs w:val="24"/>
        </w:rPr>
        <w:t xml:space="preserve"> όπως κάθε φορά ισχύει και της </w:t>
      </w:r>
      <w:r w:rsidRPr="00A96CFE">
        <w:rPr>
          <w:rFonts w:asciiTheme="majorHAnsi" w:hAnsiTheme="majorHAnsi"/>
          <w:b/>
          <w:sz w:val="24"/>
          <w:szCs w:val="24"/>
        </w:rPr>
        <w:t>Κ.Υ.Α. 618/43/05/20.01.2005 (ΦΕΚ Β’ 52)</w:t>
      </w:r>
      <w:r w:rsidR="002B67A6" w:rsidRPr="00A96CFE">
        <w:rPr>
          <w:rFonts w:asciiTheme="majorHAnsi" w:hAnsiTheme="majorHAnsi"/>
          <w:b/>
          <w:sz w:val="24"/>
          <w:szCs w:val="24"/>
        </w:rPr>
        <w:t>: «Προϋποθέσεις διάθεσης στην αγορά πυροσβεστήρων, διαδικασίες συντήρησης, επανελέγχου και αναγόμωσης»</w:t>
      </w:r>
      <w:r w:rsidRPr="00A96CFE">
        <w:rPr>
          <w:rFonts w:asciiTheme="majorHAnsi" w:hAnsiTheme="majorHAnsi"/>
          <w:sz w:val="24"/>
          <w:szCs w:val="24"/>
        </w:rPr>
        <w:t xml:space="preserve">, όπως τροποποιήθηκε και συμπληρώθηκε με την </w:t>
      </w:r>
      <w:r w:rsidRPr="00A96CFE">
        <w:rPr>
          <w:rFonts w:asciiTheme="majorHAnsi" w:hAnsiTheme="majorHAnsi"/>
          <w:b/>
          <w:sz w:val="24"/>
          <w:szCs w:val="24"/>
        </w:rPr>
        <w:t>Κ.Υ.Α. 17230/671/1.9.2005 (ΦΕΚ Β’ 1218)</w:t>
      </w:r>
      <w:r w:rsidR="002B67A6" w:rsidRPr="00A96CFE">
        <w:rPr>
          <w:rFonts w:asciiTheme="majorHAnsi" w:hAnsiTheme="majorHAnsi"/>
          <w:sz w:val="24"/>
          <w:szCs w:val="24"/>
        </w:rPr>
        <w:t>.</w:t>
      </w:r>
      <w:r w:rsidRPr="00A96CFE">
        <w:rPr>
          <w:rFonts w:asciiTheme="majorHAnsi" w:hAnsiTheme="majorHAnsi"/>
          <w:sz w:val="24"/>
          <w:szCs w:val="24"/>
        </w:rPr>
        <w:t xml:space="preserve"> </w:t>
      </w:r>
      <w:r w:rsidR="003316DD" w:rsidRPr="00A96CFE">
        <w:rPr>
          <w:rFonts w:asciiTheme="majorHAnsi" w:hAnsiTheme="majorHAnsi"/>
          <w:sz w:val="24"/>
          <w:szCs w:val="24"/>
        </w:rPr>
        <w:t xml:space="preserve">Η κατασβεστική ικανότητα του πυροσβεστήρα θα είναι τουλάχιστον </w:t>
      </w:r>
      <w:r w:rsidR="003316DD" w:rsidRPr="00A96CFE">
        <w:rPr>
          <w:rFonts w:asciiTheme="majorHAnsi" w:hAnsiTheme="majorHAnsi"/>
          <w:b/>
          <w:sz w:val="24"/>
          <w:szCs w:val="24"/>
        </w:rPr>
        <w:t>21Α-113Β-</w:t>
      </w:r>
      <w:r w:rsidR="003316DD" w:rsidRPr="00A96CFE">
        <w:rPr>
          <w:rFonts w:asciiTheme="majorHAnsi" w:hAnsiTheme="majorHAnsi"/>
          <w:b/>
          <w:sz w:val="24"/>
          <w:szCs w:val="24"/>
          <w:lang w:val="en-GB"/>
        </w:rPr>
        <w:t>C</w:t>
      </w:r>
      <w:r w:rsidR="003316DD" w:rsidRPr="00A96CFE">
        <w:rPr>
          <w:rFonts w:asciiTheme="majorHAnsi" w:hAnsiTheme="majorHAnsi"/>
          <w:sz w:val="24"/>
          <w:szCs w:val="24"/>
        </w:rPr>
        <w:t xml:space="preserve"> και </w:t>
      </w:r>
      <w:r w:rsidR="002102F1" w:rsidRPr="00A96CFE">
        <w:rPr>
          <w:rFonts w:asciiTheme="majorHAnsi" w:hAnsiTheme="majorHAnsi"/>
          <w:sz w:val="24"/>
          <w:szCs w:val="24"/>
        </w:rPr>
        <w:t xml:space="preserve">η </w:t>
      </w:r>
      <w:r w:rsidR="003316DD" w:rsidRPr="00A96CFE">
        <w:rPr>
          <w:rFonts w:asciiTheme="majorHAnsi" w:hAnsiTheme="majorHAnsi"/>
          <w:sz w:val="24"/>
          <w:szCs w:val="24"/>
        </w:rPr>
        <w:t xml:space="preserve">ονομαστική γόμωση </w:t>
      </w:r>
      <w:r w:rsidR="003316DD" w:rsidRPr="00A96CFE">
        <w:rPr>
          <w:rFonts w:asciiTheme="majorHAnsi" w:hAnsiTheme="majorHAnsi"/>
          <w:b/>
          <w:sz w:val="24"/>
          <w:szCs w:val="24"/>
        </w:rPr>
        <w:t xml:space="preserve">6 </w:t>
      </w:r>
      <w:r w:rsidR="003316DD" w:rsidRPr="00A96CFE">
        <w:rPr>
          <w:rFonts w:asciiTheme="majorHAnsi" w:hAnsiTheme="majorHAnsi"/>
          <w:b/>
          <w:sz w:val="24"/>
          <w:szCs w:val="24"/>
          <w:lang w:val="en-GB"/>
        </w:rPr>
        <w:t>kg</w:t>
      </w:r>
      <w:r w:rsidR="003316DD" w:rsidRPr="00A96CFE">
        <w:rPr>
          <w:rFonts w:asciiTheme="majorHAnsi" w:hAnsiTheme="majorHAnsi"/>
          <w:sz w:val="24"/>
          <w:szCs w:val="24"/>
        </w:rPr>
        <w:t>.</w:t>
      </w:r>
    </w:p>
    <w:p w:rsidR="00643DA0" w:rsidRPr="00A96CFE" w:rsidRDefault="00643DA0" w:rsidP="00926794">
      <w:pPr>
        <w:spacing w:after="0"/>
        <w:jc w:val="both"/>
        <w:rPr>
          <w:rFonts w:asciiTheme="majorHAnsi" w:hAnsiTheme="majorHAnsi"/>
          <w:sz w:val="24"/>
          <w:szCs w:val="24"/>
        </w:rPr>
      </w:pPr>
      <w:r w:rsidRPr="00A96CFE">
        <w:rPr>
          <w:rFonts w:asciiTheme="majorHAnsi" w:hAnsiTheme="majorHAnsi"/>
          <w:sz w:val="24"/>
          <w:szCs w:val="24"/>
        </w:rPr>
        <w:t xml:space="preserve">Οι φορητοί πυροσβεστήρες τοποθετούνται σε </w:t>
      </w:r>
      <w:r w:rsidRPr="00A96CFE">
        <w:rPr>
          <w:rFonts w:asciiTheme="majorHAnsi" w:hAnsiTheme="majorHAnsi"/>
          <w:b/>
          <w:sz w:val="24"/>
          <w:szCs w:val="24"/>
        </w:rPr>
        <w:t>ύψος 0,80 – 1,20</w:t>
      </w:r>
      <w:r w:rsidR="00471FBB" w:rsidRPr="00A96CFE">
        <w:rPr>
          <w:rFonts w:asciiTheme="majorHAnsi" w:hAnsiTheme="majorHAnsi"/>
          <w:b/>
          <w:sz w:val="24"/>
          <w:szCs w:val="24"/>
        </w:rPr>
        <w:t xml:space="preserve"> μ. από το δάπεδο</w:t>
      </w:r>
      <w:r w:rsidR="00471FBB" w:rsidRPr="00A96CFE">
        <w:rPr>
          <w:rFonts w:asciiTheme="majorHAnsi" w:hAnsiTheme="majorHAnsi"/>
          <w:sz w:val="24"/>
          <w:szCs w:val="24"/>
        </w:rPr>
        <w:t>, στις οδεύσεις διαφυγής, πλησίον κλιμακοστασίων, επικίνδυνων χώρων, εξόδων κινδύνου ενώ απαγορεύεται η τοποθέτησή τους σε χώρους μη προσβάσιμους, κάτω από κλιμακοστάσια ή σε χώρους που καλύπτονται από υλικά.</w:t>
      </w:r>
    </w:p>
    <w:p w:rsidR="00926794" w:rsidRPr="00A96CFE" w:rsidRDefault="002B67A6" w:rsidP="00926794">
      <w:pPr>
        <w:spacing w:after="0"/>
        <w:jc w:val="both"/>
        <w:rPr>
          <w:rFonts w:asciiTheme="majorHAnsi" w:hAnsiTheme="majorHAnsi"/>
          <w:sz w:val="24"/>
          <w:szCs w:val="24"/>
        </w:rPr>
      </w:pPr>
      <w:r w:rsidRPr="00A96CFE">
        <w:rPr>
          <w:rFonts w:asciiTheme="majorHAnsi" w:hAnsiTheme="majorHAnsi"/>
          <w:sz w:val="24"/>
          <w:szCs w:val="24"/>
        </w:rPr>
        <w:t xml:space="preserve">Επίσης, πρέπει </w:t>
      </w:r>
      <w:r w:rsidR="00926794" w:rsidRPr="00A96CFE">
        <w:rPr>
          <w:rFonts w:asciiTheme="majorHAnsi" w:hAnsiTheme="majorHAnsi"/>
          <w:sz w:val="24"/>
          <w:szCs w:val="24"/>
        </w:rPr>
        <w:t xml:space="preserve">να είναι σύμφωνος με την Ευρωπαϊκή Οδηγία 97/23. Θα φέρει ανεξίτηλη σήμανση </w:t>
      </w:r>
      <w:r w:rsidR="00926794" w:rsidRPr="00A96CFE">
        <w:rPr>
          <w:rFonts w:asciiTheme="majorHAnsi" w:hAnsiTheme="majorHAnsi"/>
          <w:i/>
          <w:sz w:val="24"/>
          <w:szCs w:val="24"/>
          <w:lang w:val="en-GB"/>
        </w:rPr>
        <w:t>CE</w:t>
      </w:r>
      <w:r w:rsidR="00926794" w:rsidRPr="00A96CFE">
        <w:rPr>
          <w:rFonts w:asciiTheme="majorHAnsi" w:hAnsiTheme="majorHAnsi"/>
          <w:sz w:val="24"/>
          <w:szCs w:val="24"/>
        </w:rPr>
        <w:t xml:space="preserve"> στο κέλυφος και στη βαλβίδα του καθώς και τη συμμόρφωση με το Πρότυπο </w:t>
      </w:r>
      <w:r w:rsidR="00926794" w:rsidRPr="00A96CFE">
        <w:rPr>
          <w:rFonts w:asciiTheme="majorHAnsi" w:hAnsiTheme="majorHAnsi"/>
          <w:i/>
          <w:sz w:val="24"/>
          <w:szCs w:val="24"/>
        </w:rPr>
        <w:t>ΕΝ</w:t>
      </w:r>
      <w:r w:rsidR="00926794" w:rsidRPr="00A96CFE">
        <w:rPr>
          <w:rFonts w:asciiTheme="majorHAnsi" w:hAnsiTheme="majorHAnsi"/>
          <w:sz w:val="24"/>
          <w:szCs w:val="24"/>
        </w:rPr>
        <w:t xml:space="preserve"> 3 στην ετικέτα του.</w:t>
      </w:r>
    </w:p>
    <w:p w:rsidR="00926794" w:rsidRPr="00A96CFE" w:rsidRDefault="00926794" w:rsidP="00926794">
      <w:pPr>
        <w:spacing w:after="0"/>
        <w:jc w:val="both"/>
        <w:rPr>
          <w:rFonts w:asciiTheme="majorHAnsi" w:hAnsiTheme="majorHAnsi"/>
          <w:sz w:val="24"/>
          <w:szCs w:val="24"/>
        </w:rPr>
      </w:pPr>
      <w:r w:rsidRPr="00A96CFE">
        <w:rPr>
          <w:rFonts w:asciiTheme="majorHAnsi" w:hAnsiTheme="majorHAnsi"/>
          <w:sz w:val="24"/>
          <w:szCs w:val="24"/>
        </w:rPr>
        <w:t xml:space="preserve">Θα παραδοθεί πλήρως τοποθετημένος στον τοίχο σε ύψος 0,80-1,20 μέτρα από το δάπεδο στις οδεύσεις διαφυγής, πλησίον κλιμακοστασίων, επικίνδυνων χώρων και εξόδων κινδύνου, με </w:t>
      </w:r>
      <w:proofErr w:type="spellStart"/>
      <w:r w:rsidRPr="00A96CFE">
        <w:rPr>
          <w:rFonts w:asciiTheme="majorHAnsi" w:hAnsiTheme="majorHAnsi"/>
          <w:sz w:val="24"/>
          <w:szCs w:val="24"/>
        </w:rPr>
        <w:t>επιτοίχια</w:t>
      </w:r>
      <w:proofErr w:type="spellEnd"/>
      <w:r w:rsidRPr="00A96CFE">
        <w:rPr>
          <w:rFonts w:asciiTheme="majorHAnsi" w:hAnsiTheme="majorHAnsi"/>
          <w:sz w:val="24"/>
          <w:szCs w:val="24"/>
        </w:rPr>
        <w:t xml:space="preserve"> μεταλλική βάση, ώστε να απελευθερώνεται ο χώρος, καθώς και με αυτοκόλλητη πινακίδας ένδειξης θέσης πυροσβεστήρα, σε εμφανές σημείο πάνω από τον πυροσβεστήρα. Επίσης, θα συνοδεύεται από υπεύθυνη δήλωση καλής λειτουργίας του προμηθευτή. Θα φέρει χειρολαβή για την μεταφορά και βαλβίδα τύπου σκανδάλης. Στο επάνω μέρος θα φέρει κλείστρο με βαλβίδα ασφάλειας μανομέτρου. Ο </w:t>
      </w:r>
      <w:r w:rsidRPr="00A96CFE">
        <w:rPr>
          <w:rFonts w:asciiTheme="majorHAnsi" w:hAnsiTheme="majorHAnsi"/>
          <w:sz w:val="24"/>
          <w:szCs w:val="24"/>
        </w:rPr>
        <w:lastRenderedPageBreak/>
        <w:t>τύπος, η κατασβεστική ικανότητα, η καταλληλότητά του για κάθε τύπο πυρκαγιάς καθώς και οι βασικές οδηγίες χρήσης, επιτήρησης και συντήρησης, αλλά και τα στοιχεία του κατασκευαστή και του διανομέα θα φαίνονται σε πινακίδα σε εμφανές σημείο στο κέλυφός του, σύμφωνα με τις Ελληνική Νομοθεσία. Ο πυροσβεστήρας θα φέρει επίσης ανεξίτηλη και ευανάγνωστη ετικέτα ελέγχου, στην οποία θα αναγράφονται η ημερομηνία ελέγχου, επιγραμματικά οι εργασίες που υλοποιήθηκαν, πότε πρέπει να γίνει η επόμενη συντήρηση καθώς και τα στοιχεία της αναγνωρισμένης εταιρείας (όνομα, διεύθυνση, αριθμός πιστοποίησης).</w:t>
      </w:r>
    </w:p>
    <w:p w:rsidR="004520AE" w:rsidRPr="00A96CFE" w:rsidRDefault="004520AE" w:rsidP="00705273">
      <w:pPr>
        <w:pStyle w:val="a3"/>
        <w:spacing w:after="0" w:line="360" w:lineRule="auto"/>
        <w:ind w:left="0"/>
        <w:jc w:val="both"/>
        <w:rPr>
          <w:rFonts w:asciiTheme="majorHAnsi" w:hAnsiTheme="majorHAnsi"/>
          <w:sz w:val="24"/>
          <w:szCs w:val="24"/>
        </w:rPr>
      </w:pPr>
    </w:p>
    <w:p w:rsidR="00A96CFE" w:rsidRDefault="00A96CFE" w:rsidP="00E61645">
      <w:pPr>
        <w:jc w:val="both"/>
        <w:rPr>
          <w:rFonts w:asciiTheme="majorHAnsi" w:hAnsiTheme="majorHAnsi"/>
          <w:b/>
          <w:sz w:val="24"/>
          <w:szCs w:val="24"/>
          <w:u w:val="single"/>
        </w:rPr>
      </w:pPr>
    </w:p>
    <w:p w:rsidR="00F30A03" w:rsidRPr="00A96CFE" w:rsidRDefault="00F30A03" w:rsidP="00E61645">
      <w:pPr>
        <w:jc w:val="both"/>
        <w:rPr>
          <w:rFonts w:asciiTheme="majorHAnsi" w:hAnsiTheme="majorHAnsi"/>
          <w:b/>
          <w:sz w:val="24"/>
          <w:szCs w:val="24"/>
          <w:u w:val="single"/>
        </w:rPr>
      </w:pPr>
      <w:r w:rsidRPr="00A96CFE">
        <w:rPr>
          <w:rFonts w:asciiTheme="majorHAnsi" w:hAnsiTheme="majorHAnsi"/>
          <w:b/>
          <w:sz w:val="24"/>
          <w:szCs w:val="24"/>
          <w:u w:val="single"/>
        </w:rPr>
        <w:t>ΓΕΝΙΚΟΙ ΟΡΟΙ</w:t>
      </w:r>
    </w:p>
    <w:p w:rsidR="00F30A03" w:rsidRPr="00A96CFE" w:rsidRDefault="00CB7DD3"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Ο υποψήφιος ανάδοχος προμηθευτής κατά την τοποθέτηση των συστημάτων Πυροπροστασίας, υποχρεούται να τηρεί τις κείμενες διατάξεις σχετικά με την ασφάλεια των εργαζομένων και να παίρνει όλα τα επιβαλλόμενα και αναγκαία μέτρα προστασίας του προσωπικού του αλλά και οποιουδήποτε τρίτου. Υποχρεούται επίσης, να έχει ασφαλισμένο το προσωπικό που θα χρησιμοποιήσει στην εκτέλεση των εργασιών και θα φέρει την αποκλειστική αστική και ποινική ευθύνη για κάθε τυχόν ατύχημα ή πρόκληση σωματικής ή υλικής βλάβης που τυχόν θα συμβεί στο προσωπικό του ή σε οποιοδήποτε τρίτο πρόσωπο.</w:t>
      </w:r>
    </w:p>
    <w:p w:rsidR="00CB7DD3" w:rsidRPr="00A96CFE" w:rsidRDefault="00CB7DD3"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Ο υποψήφιος ανάδοχος προμηθευτής κατά την τοποθέτηση των συστημάτων Πυροπροστασίας, θα έχει στην κατοχή του όλα τα απαιτούμενα ειδικά και μη εργαλεία και όργανα μετρήσεων και ελέγχου για την ασφαλή εγκατάσταση των συστημάτων. Όλες οι εργασίες θα γίνουν σύμφωνα με τις οδηγίες των κατασκευαστών και τους κανόνες της Τέχνης και της Επιστήμης, τους ισχύοντες Ελληνικούς και Ευρωπαϊκούς κανονισμούς, διατάξεις και νόμους. Το προσωπικό που θα χρησιμοποιήσει ο ανάδοχος θα είναι εξειδικευμένο για ανάλογες εργασίες.</w:t>
      </w:r>
    </w:p>
    <w:p w:rsidR="00CB7DD3" w:rsidRPr="00A96CFE" w:rsidRDefault="00CB7DD3"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Ο υποψήφιος ανάδοχος προμηθευτής θα πρέπει να αποδείξει την εμπειρία του στην εγκατάσταση συστημάτων Πυροπροστασίας τα τελευταία τρία χρόνια, προσκομίζοντας αντίγραφα είτε τιμολογίων είτε Βεβαιώσεων Καλής Εκτέλεσης ανάλογων έργων.</w:t>
      </w:r>
    </w:p>
    <w:p w:rsidR="00CB7DD3" w:rsidRPr="00A96CFE" w:rsidRDefault="00CB7DD3"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Ο υποψήφιος ανάδοχος προμηθευτής θα πρέπει να έχει επισκεφθεί το Κέντρο Υγείας πριν την προσφορά του, ώστε να λάβει γνώση όλων των χώρων</w:t>
      </w:r>
      <w:r w:rsidR="00FA3C62" w:rsidRPr="00A96CFE">
        <w:rPr>
          <w:rFonts w:asciiTheme="majorHAnsi" w:hAnsiTheme="majorHAnsi"/>
          <w:sz w:val="24"/>
          <w:szCs w:val="24"/>
        </w:rPr>
        <w:t xml:space="preserve"> και ιδιαιτεροτήτων</w:t>
      </w:r>
      <w:r w:rsidRPr="00A96CFE">
        <w:rPr>
          <w:rFonts w:asciiTheme="majorHAnsi" w:hAnsiTheme="majorHAnsi"/>
          <w:sz w:val="24"/>
          <w:szCs w:val="24"/>
        </w:rPr>
        <w:t>.</w:t>
      </w:r>
    </w:p>
    <w:p w:rsidR="00FA3C62" w:rsidRPr="00A96CFE" w:rsidRDefault="00FA3C62"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Στην προσφορά που θα καταθέσουν οι υποψήφιοι να συμπεριλαμβάνεται και η απεγκατάσταση παλαιών κατεστραμμένων συστημάτων Πυροπροστασίας (όπου υπάρχουν). Τα παλαιά κατεστραμμένα συστήματα Πυροπροστασίας, θα πρέπει να μεταφερθούν από τον Ανάδοχο σε σημείο που θα του υποδείξει η Υπηρεσία μας.</w:t>
      </w:r>
    </w:p>
    <w:p w:rsidR="00FA3C62" w:rsidRPr="00A96CFE" w:rsidRDefault="00FA3C62"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 xml:space="preserve">Ο υποψήφιος ανάδοχος προμηθευτής θα πρέπει να προσκομίσει επί ποινή αποκλεισμού πιστοποιητικό/σήμανση </w:t>
      </w:r>
      <w:r w:rsidRPr="00A96CFE">
        <w:rPr>
          <w:rFonts w:asciiTheme="majorHAnsi" w:hAnsiTheme="majorHAnsi"/>
          <w:i/>
          <w:sz w:val="24"/>
          <w:szCs w:val="24"/>
        </w:rPr>
        <w:t>CE</w:t>
      </w:r>
      <w:r w:rsidRPr="00A96CFE">
        <w:rPr>
          <w:rFonts w:asciiTheme="majorHAnsi" w:hAnsiTheme="majorHAnsi"/>
          <w:sz w:val="24"/>
          <w:szCs w:val="24"/>
        </w:rPr>
        <w:t xml:space="preserve"> για όλα τα συστήματα Πυροπροστασίας που προτείνει να εγκαταστήσει, καθώς και πιστοποιητικό </w:t>
      </w:r>
      <w:r w:rsidRPr="00A96CFE">
        <w:rPr>
          <w:rFonts w:asciiTheme="majorHAnsi" w:hAnsiTheme="majorHAnsi"/>
          <w:i/>
          <w:sz w:val="24"/>
          <w:szCs w:val="24"/>
        </w:rPr>
        <w:t>ISO</w:t>
      </w:r>
      <w:r w:rsidRPr="00A96CFE">
        <w:rPr>
          <w:rFonts w:asciiTheme="majorHAnsi" w:hAnsiTheme="majorHAnsi"/>
          <w:sz w:val="24"/>
          <w:szCs w:val="24"/>
        </w:rPr>
        <w:t xml:space="preserve"> σε ισχύ του οίκου κατασκευής.</w:t>
      </w:r>
    </w:p>
    <w:p w:rsidR="00FA3C62" w:rsidRPr="00A96CFE" w:rsidRDefault="00FA3C62" w:rsidP="0099653C">
      <w:pPr>
        <w:pStyle w:val="a3"/>
        <w:numPr>
          <w:ilvl w:val="0"/>
          <w:numId w:val="10"/>
        </w:numPr>
        <w:spacing w:after="0"/>
        <w:ind w:left="567" w:hanging="567"/>
        <w:jc w:val="both"/>
        <w:rPr>
          <w:rFonts w:asciiTheme="majorHAnsi" w:hAnsiTheme="majorHAnsi"/>
          <w:sz w:val="24"/>
          <w:szCs w:val="24"/>
        </w:rPr>
      </w:pPr>
      <w:r w:rsidRPr="00A96CFE">
        <w:rPr>
          <w:rFonts w:asciiTheme="majorHAnsi" w:hAnsiTheme="majorHAnsi"/>
          <w:sz w:val="24"/>
          <w:szCs w:val="24"/>
        </w:rPr>
        <w:t xml:space="preserve">Τέλος, όλα τα συστήματα Πυροπροστασίας που θα τοποθετηθούν από τον υποψήφιο ανάδοχο προμηθευτή, θα πρέπει να έχουν </w:t>
      </w:r>
      <w:r w:rsidRPr="00A96CFE">
        <w:rPr>
          <w:rFonts w:asciiTheme="majorHAnsi" w:hAnsiTheme="majorHAnsi"/>
          <w:b/>
          <w:sz w:val="24"/>
          <w:szCs w:val="24"/>
          <w:u w:val="single"/>
        </w:rPr>
        <w:t>κατ ελάχιστον δύο (2) χρόνια εγγύηση.</w:t>
      </w:r>
    </w:p>
    <w:p w:rsidR="00F16C29" w:rsidRPr="00A96CFE" w:rsidRDefault="00F16C29" w:rsidP="00F16C29">
      <w:pPr>
        <w:spacing w:after="0" w:line="360" w:lineRule="auto"/>
        <w:ind w:left="567" w:hanging="567"/>
        <w:jc w:val="center"/>
        <w:rPr>
          <w:rFonts w:asciiTheme="majorHAnsi" w:hAnsiTheme="majorHAnsi"/>
          <w:sz w:val="24"/>
          <w:szCs w:val="24"/>
        </w:rPr>
      </w:pPr>
    </w:p>
    <w:p w:rsidR="00F16C29" w:rsidRPr="00A96CFE"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A96CFE">
        <w:rPr>
          <w:rFonts w:ascii="Segoe UI" w:eastAsia="Times New Roman" w:hAnsi="Segoe UI" w:cs="Segoe UI"/>
          <w:b/>
          <w:bCs/>
          <w:sz w:val="24"/>
          <w:szCs w:val="24"/>
          <w:u w:val="single"/>
          <w:lang w:eastAsia="el-GR"/>
        </w:rPr>
        <w:t>ΓΚΟΡΓΚΟΛΗΣ ΝΙΚ. ΣΠΥΡΙΔΩΝ</w:t>
      </w:r>
    </w:p>
    <w:p w:rsidR="00F16C29" w:rsidRPr="00A96CFE" w:rsidRDefault="00F16C29" w:rsidP="00F16C29">
      <w:pPr>
        <w:shd w:val="clear" w:color="auto" w:fill="FFFFFF"/>
        <w:spacing w:after="0" w:line="240" w:lineRule="auto"/>
        <w:jc w:val="center"/>
        <w:rPr>
          <w:rFonts w:ascii="Segoe UI" w:eastAsia="Times New Roman" w:hAnsi="Segoe UI" w:cs="Segoe UI"/>
          <w:sz w:val="20"/>
          <w:szCs w:val="20"/>
          <w:lang w:eastAsia="el-GR"/>
        </w:rPr>
      </w:pPr>
      <w:proofErr w:type="spellStart"/>
      <w:r w:rsidRPr="00A96CFE">
        <w:rPr>
          <w:rFonts w:ascii="Segoe UI" w:eastAsia="Times New Roman" w:hAnsi="Segoe UI" w:cs="Segoe UI"/>
          <w:sz w:val="20"/>
          <w:szCs w:val="20"/>
          <w:lang w:eastAsia="el-GR"/>
        </w:rPr>
        <w:t>Διπλ</w:t>
      </w:r>
      <w:proofErr w:type="spellEnd"/>
      <w:r w:rsidRPr="00A96CFE">
        <w:rPr>
          <w:rFonts w:ascii="Segoe UI" w:eastAsia="Times New Roman" w:hAnsi="Segoe UI" w:cs="Segoe UI"/>
          <w:sz w:val="20"/>
          <w:szCs w:val="20"/>
          <w:lang w:eastAsia="el-GR"/>
        </w:rPr>
        <w:t xml:space="preserve">. </w:t>
      </w:r>
      <w:proofErr w:type="spellStart"/>
      <w:r w:rsidRPr="00A96CFE">
        <w:rPr>
          <w:rFonts w:ascii="Segoe UI" w:eastAsia="Times New Roman" w:hAnsi="Segoe UI" w:cs="Segoe UI"/>
          <w:sz w:val="20"/>
          <w:szCs w:val="20"/>
          <w:lang w:eastAsia="el-GR"/>
        </w:rPr>
        <w:t>Μηχ</w:t>
      </w:r>
      <w:proofErr w:type="spellEnd"/>
      <w:r w:rsidRPr="00A96CFE">
        <w:rPr>
          <w:rFonts w:ascii="Segoe UI" w:eastAsia="Times New Roman" w:hAnsi="Segoe UI" w:cs="Segoe UI"/>
          <w:sz w:val="20"/>
          <w:szCs w:val="20"/>
          <w:lang w:eastAsia="el-GR"/>
        </w:rPr>
        <w:t>/</w:t>
      </w:r>
      <w:proofErr w:type="spellStart"/>
      <w:r w:rsidRPr="00A96CFE">
        <w:rPr>
          <w:rFonts w:ascii="Segoe UI" w:eastAsia="Times New Roman" w:hAnsi="Segoe UI" w:cs="Segoe UI"/>
          <w:sz w:val="20"/>
          <w:szCs w:val="20"/>
          <w:lang w:eastAsia="el-GR"/>
        </w:rPr>
        <w:t>γος</w:t>
      </w:r>
      <w:proofErr w:type="spellEnd"/>
      <w:r w:rsidRPr="00A96CFE">
        <w:rPr>
          <w:rFonts w:ascii="Segoe UI" w:eastAsia="Times New Roman" w:hAnsi="Segoe UI" w:cs="Segoe UI"/>
          <w:sz w:val="20"/>
          <w:szCs w:val="20"/>
          <w:lang w:eastAsia="el-GR"/>
        </w:rPr>
        <w:t xml:space="preserve"> &amp; </w:t>
      </w:r>
      <w:proofErr w:type="spellStart"/>
      <w:r w:rsidRPr="00A96CFE">
        <w:rPr>
          <w:rFonts w:ascii="Segoe UI" w:eastAsia="Times New Roman" w:hAnsi="Segoe UI" w:cs="Segoe UI"/>
          <w:sz w:val="20"/>
          <w:szCs w:val="20"/>
          <w:lang w:eastAsia="el-GR"/>
        </w:rPr>
        <w:t>Αερ</w:t>
      </w:r>
      <w:proofErr w:type="spellEnd"/>
      <w:r w:rsidRPr="00A96CFE">
        <w:rPr>
          <w:rFonts w:ascii="Segoe UI" w:eastAsia="Times New Roman" w:hAnsi="Segoe UI" w:cs="Segoe UI"/>
          <w:sz w:val="20"/>
          <w:szCs w:val="20"/>
          <w:lang w:eastAsia="el-GR"/>
        </w:rPr>
        <w:t>/</w:t>
      </w:r>
      <w:proofErr w:type="spellStart"/>
      <w:r w:rsidRPr="00A96CFE">
        <w:rPr>
          <w:rFonts w:ascii="Segoe UI" w:eastAsia="Times New Roman" w:hAnsi="Segoe UI" w:cs="Segoe UI"/>
          <w:sz w:val="20"/>
          <w:szCs w:val="20"/>
          <w:lang w:eastAsia="el-GR"/>
        </w:rPr>
        <w:t>γός</w:t>
      </w:r>
      <w:proofErr w:type="spellEnd"/>
      <w:r w:rsidRPr="00A96CFE">
        <w:rPr>
          <w:rFonts w:ascii="Segoe UI" w:eastAsia="Times New Roman" w:hAnsi="Segoe UI" w:cs="Segoe UI"/>
          <w:sz w:val="20"/>
          <w:szCs w:val="20"/>
          <w:lang w:eastAsia="el-GR"/>
        </w:rPr>
        <w:t xml:space="preserve"> </w:t>
      </w:r>
      <w:proofErr w:type="spellStart"/>
      <w:r w:rsidRPr="00A96CFE">
        <w:rPr>
          <w:rFonts w:ascii="Segoe UI" w:eastAsia="Times New Roman" w:hAnsi="Segoe UI" w:cs="Segoe UI"/>
          <w:sz w:val="20"/>
          <w:szCs w:val="20"/>
          <w:lang w:eastAsia="el-GR"/>
        </w:rPr>
        <w:t>Μηχ</w:t>
      </w:r>
      <w:proofErr w:type="spellEnd"/>
      <w:r w:rsidRPr="00A96CFE">
        <w:rPr>
          <w:rFonts w:ascii="Segoe UI" w:eastAsia="Times New Roman" w:hAnsi="Segoe UI" w:cs="Segoe UI"/>
          <w:sz w:val="20"/>
          <w:szCs w:val="20"/>
          <w:lang w:eastAsia="el-GR"/>
        </w:rPr>
        <w:t>/</w:t>
      </w:r>
      <w:proofErr w:type="spellStart"/>
      <w:r w:rsidRPr="00A96CFE">
        <w:rPr>
          <w:rFonts w:ascii="Segoe UI" w:eastAsia="Times New Roman" w:hAnsi="Segoe UI" w:cs="Segoe UI"/>
          <w:sz w:val="20"/>
          <w:szCs w:val="20"/>
          <w:lang w:eastAsia="el-GR"/>
        </w:rPr>
        <w:t>κός</w:t>
      </w:r>
      <w:proofErr w:type="spellEnd"/>
      <w:r w:rsidRPr="00A96CFE">
        <w:rPr>
          <w:rFonts w:ascii="Segoe UI" w:eastAsia="Times New Roman" w:hAnsi="Segoe UI" w:cs="Segoe UI"/>
          <w:sz w:val="20"/>
          <w:szCs w:val="20"/>
          <w:lang w:eastAsia="el-GR"/>
        </w:rPr>
        <w:t xml:space="preserve">, </w:t>
      </w:r>
      <w:proofErr w:type="spellStart"/>
      <w:r w:rsidRPr="00A96CFE">
        <w:rPr>
          <w:rFonts w:ascii="Segoe UI" w:eastAsia="Times New Roman" w:hAnsi="Segoe UI" w:cs="Segoe UI"/>
          <w:sz w:val="20"/>
          <w:szCs w:val="20"/>
          <w:lang w:eastAsia="el-GR"/>
        </w:rPr>
        <w:t>M.Sc</w:t>
      </w:r>
      <w:proofErr w:type="spellEnd"/>
      <w:r w:rsidRPr="00A96CFE">
        <w:rPr>
          <w:rFonts w:ascii="Segoe UI" w:eastAsia="Times New Roman" w:hAnsi="Segoe UI" w:cs="Segoe UI"/>
          <w:sz w:val="20"/>
          <w:szCs w:val="20"/>
          <w:lang w:eastAsia="el-GR"/>
        </w:rPr>
        <w:t xml:space="preserve">., </w:t>
      </w:r>
      <w:proofErr w:type="spellStart"/>
      <w:r w:rsidRPr="00A96CFE">
        <w:rPr>
          <w:rFonts w:ascii="Segoe UI" w:eastAsia="Times New Roman" w:hAnsi="Segoe UI" w:cs="Segoe UI"/>
          <w:sz w:val="20"/>
          <w:szCs w:val="20"/>
          <w:lang w:eastAsia="el-GR"/>
        </w:rPr>
        <w:t>Ph.D</w:t>
      </w:r>
      <w:proofErr w:type="spellEnd"/>
      <w:r w:rsidRPr="00A96CFE">
        <w:rPr>
          <w:rFonts w:ascii="Segoe UI" w:eastAsia="Times New Roman" w:hAnsi="Segoe UI" w:cs="Segoe UI"/>
          <w:sz w:val="20"/>
          <w:szCs w:val="20"/>
          <w:lang w:eastAsia="el-GR"/>
        </w:rPr>
        <w:t>.</w:t>
      </w:r>
    </w:p>
    <w:p w:rsidR="00F16C29" w:rsidRPr="00A96CFE"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A96CFE">
        <w:rPr>
          <w:rFonts w:ascii="Segoe UI" w:eastAsia="Times New Roman" w:hAnsi="Segoe UI" w:cs="Segoe UI"/>
          <w:sz w:val="20"/>
          <w:szCs w:val="20"/>
          <w:lang w:eastAsia="el-GR"/>
        </w:rPr>
        <w:t>Διοίκηση 6ης Υγειονομικής Περιφέρειας</w:t>
      </w:r>
    </w:p>
    <w:p w:rsidR="00F16C29" w:rsidRPr="00A96CFE"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A96CFE">
        <w:rPr>
          <w:rFonts w:ascii="Segoe UI" w:eastAsia="Times New Roman" w:hAnsi="Segoe UI" w:cs="Segoe UI"/>
          <w:sz w:val="20"/>
          <w:szCs w:val="20"/>
          <w:lang w:eastAsia="el-GR"/>
        </w:rPr>
        <w:t>Διεύθυνση Δημόσιας Υγείας</w:t>
      </w:r>
    </w:p>
    <w:p w:rsidR="00F16C29" w:rsidRPr="00A96CFE"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A96CFE">
        <w:rPr>
          <w:rFonts w:ascii="Segoe UI" w:eastAsia="Times New Roman" w:hAnsi="Segoe UI" w:cs="Segoe UI"/>
          <w:sz w:val="20"/>
          <w:szCs w:val="20"/>
          <w:lang w:eastAsia="el-GR"/>
        </w:rPr>
        <w:t>Τμήμα Υγείας &amp; Ασφάλειας Εργαζομένων</w:t>
      </w:r>
    </w:p>
    <w:p w:rsidR="00F16C29" w:rsidRPr="00A96CFE"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A96CFE">
        <w:rPr>
          <w:rFonts w:ascii="Segoe UI" w:eastAsia="Times New Roman" w:hAnsi="Segoe UI" w:cs="Segoe UI"/>
          <w:sz w:val="20"/>
          <w:szCs w:val="20"/>
          <w:lang w:eastAsia="el-GR"/>
        </w:rPr>
        <w:t>Ν.Ε.Ο. Πατρών-Αθηνών &amp; Υπάτης 1, 26441</w:t>
      </w:r>
    </w:p>
    <w:p w:rsidR="00F16C29" w:rsidRPr="00F16C29" w:rsidRDefault="00F16C29" w:rsidP="00F16C29">
      <w:pPr>
        <w:shd w:val="clear" w:color="auto" w:fill="FFFFFF"/>
        <w:spacing w:after="0" w:line="240" w:lineRule="auto"/>
        <w:jc w:val="center"/>
        <w:rPr>
          <w:rFonts w:ascii="Segoe UI" w:eastAsia="Times New Roman" w:hAnsi="Segoe UI" w:cs="Segoe UI"/>
          <w:color w:val="222222"/>
          <w:sz w:val="20"/>
          <w:szCs w:val="20"/>
          <w:lang w:eastAsia="el-GR"/>
        </w:rPr>
      </w:pPr>
      <w:proofErr w:type="spellStart"/>
      <w:r w:rsidRPr="00A96CFE">
        <w:rPr>
          <w:rFonts w:ascii="Segoe UI" w:eastAsia="Times New Roman" w:hAnsi="Segoe UI" w:cs="Segoe UI"/>
          <w:sz w:val="20"/>
          <w:szCs w:val="20"/>
          <w:lang w:eastAsia="el-GR"/>
        </w:rPr>
        <w:t>Τηλ</w:t>
      </w:r>
      <w:proofErr w:type="spellEnd"/>
      <w:r w:rsidRPr="00A96CFE">
        <w:rPr>
          <w:rFonts w:ascii="Segoe UI" w:eastAsia="Times New Roman" w:hAnsi="Segoe UI" w:cs="Segoe UI"/>
          <w:sz w:val="20"/>
          <w:szCs w:val="20"/>
          <w:lang w:eastAsia="el-GR"/>
        </w:rPr>
        <w:t xml:space="preserve">.: </w:t>
      </w:r>
      <w:r w:rsidRPr="00A96CFE">
        <w:rPr>
          <w:rFonts w:ascii="Segoe UI" w:eastAsia="Times New Roman" w:hAnsi="Segoe UI" w:cs="Segoe UI"/>
          <w:b/>
          <w:sz w:val="20"/>
          <w:szCs w:val="20"/>
          <w:lang w:eastAsia="el-GR"/>
        </w:rPr>
        <w:t>2613-</w:t>
      </w:r>
      <w:r w:rsidRPr="000B6528">
        <w:rPr>
          <w:rFonts w:ascii="Segoe UI" w:eastAsia="Times New Roman" w:hAnsi="Segoe UI" w:cs="Segoe UI"/>
          <w:b/>
          <w:color w:val="222222"/>
          <w:sz w:val="20"/>
          <w:szCs w:val="20"/>
          <w:lang w:eastAsia="el-GR"/>
        </w:rPr>
        <w:t>600613</w:t>
      </w:r>
    </w:p>
    <w:p w:rsidR="00F16C29" w:rsidRPr="00F16C29" w:rsidRDefault="00F16C29" w:rsidP="00F16C29">
      <w:pPr>
        <w:shd w:val="clear" w:color="auto" w:fill="FFFFFF"/>
        <w:spacing w:after="0" w:line="240" w:lineRule="auto"/>
        <w:jc w:val="center"/>
        <w:rPr>
          <w:rFonts w:ascii="Segoe UI" w:eastAsia="Times New Roman" w:hAnsi="Segoe UI" w:cs="Segoe UI"/>
          <w:color w:val="222222"/>
          <w:sz w:val="20"/>
          <w:szCs w:val="20"/>
          <w:lang w:eastAsia="el-GR"/>
        </w:rPr>
      </w:pPr>
      <w:r w:rsidRPr="00F16C29">
        <w:rPr>
          <w:rFonts w:ascii="Segoe UI" w:eastAsia="Times New Roman" w:hAnsi="Segoe UI" w:cs="Segoe UI"/>
          <w:color w:val="222222"/>
          <w:sz w:val="20"/>
          <w:szCs w:val="20"/>
          <w:lang w:eastAsia="el-GR"/>
        </w:rPr>
        <w:t>e-</w:t>
      </w:r>
      <w:proofErr w:type="spellStart"/>
      <w:r w:rsidRPr="00F16C29">
        <w:rPr>
          <w:rFonts w:ascii="Segoe UI" w:eastAsia="Times New Roman" w:hAnsi="Segoe UI" w:cs="Segoe UI"/>
          <w:color w:val="222222"/>
          <w:sz w:val="20"/>
          <w:szCs w:val="20"/>
          <w:lang w:eastAsia="el-GR"/>
        </w:rPr>
        <w:t>mail</w:t>
      </w:r>
      <w:proofErr w:type="spellEnd"/>
      <w:r w:rsidRPr="00F16C29">
        <w:rPr>
          <w:rFonts w:ascii="Segoe UI" w:eastAsia="Times New Roman" w:hAnsi="Segoe UI" w:cs="Segoe UI"/>
          <w:color w:val="222222"/>
          <w:sz w:val="20"/>
          <w:szCs w:val="20"/>
          <w:lang w:eastAsia="el-GR"/>
        </w:rPr>
        <w:t>: </w:t>
      </w:r>
      <w:hyperlink r:id="rId13" w:tgtFrame="_blank" w:tooltip="Send email to s.korgolis@dypede.gr" w:history="1">
        <w:r w:rsidRPr="00F16C29">
          <w:rPr>
            <w:rFonts w:ascii="Segoe UI" w:eastAsia="Times New Roman" w:hAnsi="Segoe UI" w:cs="Segoe UI"/>
            <w:b/>
            <w:bCs/>
            <w:color w:val="116CD6"/>
            <w:sz w:val="20"/>
            <w:lang w:eastAsia="el-GR"/>
          </w:rPr>
          <w:t>s.korgolis@dypede.gr</w:t>
        </w:r>
      </w:hyperlink>
    </w:p>
    <w:p w:rsidR="00F16C29" w:rsidRDefault="00F16C29" w:rsidP="00F16C29">
      <w:pPr>
        <w:spacing w:after="0" w:line="360" w:lineRule="auto"/>
        <w:ind w:left="567" w:hanging="567"/>
        <w:jc w:val="center"/>
        <w:rPr>
          <w:rFonts w:asciiTheme="majorHAnsi" w:hAnsiTheme="majorHAnsi"/>
          <w:sz w:val="24"/>
          <w:szCs w:val="24"/>
        </w:rPr>
      </w:pPr>
    </w:p>
    <w:sectPr w:rsidR="00F16C29" w:rsidSect="008F7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7BFC"/>
    <w:multiLevelType w:val="multilevel"/>
    <w:tmpl w:val="8E3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0024B"/>
    <w:multiLevelType w:val="hybridMultilevel"/>
    <w:tmpl w:val="9372E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631D34"/>
    <w:multiLevelType w:val="hybridMultilevel"/>
    <w:tmpl w:val="785A76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56659C3"/>
    <w:multiLevelType w:val="hybridMultilevel"/>
    <w:tmpl w:val="ADB0CF3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9087B7B"/>
    <w:multiLevelType w:val="hybridMultilevel"/>
    <w:tmpl w:val="E50A36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3106B7"/>
    <w:multiLevelType w:val="hybridMultilevel"/>
    <w:tmpl w:val="93D61FC6"/>
    <w:lvl w:ilvl="0" w:tplc="A746BCE8">
      <w:start w:val="1"/>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CFE6710"/>
    <w:multiLevelType w:val="hybridMultilevel"/>
    <w:tmpl w:val="571E79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B53160"/>
    <w:multiLevelType w:val="hybridMultilevel"/>
    <w:tmpl w:val="5BAA1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2DB26C6"/>
    <w:multiLevelType w:val="hybridMultilevel"/>
    <w:tmpl w:val="BC64E3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EC0CBC"/>
    <w:multiLevelType w:val="hybridMultilevel"/>
    <w:tmpl w:val="89A05C26"/>
    <w:lvl w:ilvl="0" w:tplc="A9744E42">
      <w:start w:val="1"/>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67F3638"/>
    <w:multiLevelType w:val="multilevel"/>
    <w:tmpl w:val="6AD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10"/>
  </w:num>
  <w:num w:numId="5">
    <w:abstractNumId w:val="0"/>
  </w:num>
  <w:num w:numId="6">
    <w:abstractNumId w:val="7"/>
  </w:num>
  <w:num w:numId="7">
    <w:abstractNumId w:val="5"/>
  </w:num>
  <w:num w:numId="8">
    <w:abstractNumId w:val="9"/>
  </w:num>
  <w:num w:numId="9">
    <w:abstractNumId w:val="6"/>
  </w:num>
  <w:num w:numId="10">
    <w:abstractNumId w:val="4"/>
  </w:num>
  <w:num w:numId="11">
    <w:abstractNumId w:val="8"/>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25"/>
    <w:rsid w:val="00002DB9"/>
    <w:rsid w:val="00021BFE"/>
    <w:rsid w:val="00031B26"/>
    <w:rsid w:val="000630E6"/>
    <w:rsid w:val="00071FC1"/>
    <w:rsid w:val="00080D34"/>
    <w:rsid w:val="000A1800"/>
    <w:rsid w:val="000A1AF3"/>
    <w:rsid w:val="000A7188"/>
    <w:rsid w:val="000B6528"/>
    <w:rsid w:val="000D1494"/>
    <w:rsid w:val="000F57E6"/>
    <w:rsid w:val="000F6794"/>
    <w:rsid w:val="001018C2"/>
    <w:rsid w:val="001060E5"/>
    <w:rsid w:val="00110313"/>
    <w:rsid w:val="00126333"/>
    <w:rsid w:val="00153ADC"/>
    <w:rsid w:val="00154AEF"/>
    <w:rsid w:val="00163DBC"/>
    <w:rsid w:val="00177ADB"/>
    <w:rsid w:val="001908C2"/>
    <w:rsid w:val="001C652B"/>
    <w:rsid w:val="001D2D37"/>
    <w:rsid w:val="001D59E7"/>
    <w:rsid w:val="001E4574"/>
    <w:rsid w:val="001F5F05"/>
    <w:rsid w:val="002102F1"/>
    <w:rsid w:val="002307A7"/>
    <w:rsid w:val="00244BA1"/>
    <w:rsid w:val="002516B4"/>
    <w:rsid w:val="002570A7"/>
    <w:rsid w:val="0026715E"/>
    <w:rsid w:val="002738ED"/>
    <w:rsid w:val="00284C1F"/>
    <w:rsid w:val="00286573"/>
    <w:rsid w:val="00297003"/>
    <w:rsid w:val="002B67A6"/>
    <w:rsid w:val="002C39AD"/>
    <w:rsid w:val="002D4D53"/>
    <w:rsid w:val="002D709C"/>
    <w:rsid w:val="002F08B2"/>
    <w:rsid w:val="002F6401"/>
    <w:rsid w:val="00310F08"/>
    <w:rsid w:val="00323B93"/>
    <w:rsid w:val="00330560"/>
    <w:rsid w:val="00330F0D"/>
    <w:rsid w:val="003316DD"/>
    <w:rsid w:val="003672BC"/>
    <w:rsid w:val="0039249C"/>
    <w:rsid w:val="003B2184"/>
    <w:rsid w:val="003B57F9"/>
    <w:rsid w:val="003D503C"/>
    <w:rsid w:val="003E158A"/>
    <w:rsid w:val="003E4443"/>
    <w:rsid w:val="003E6273"/>
    <w:rsid w:val="00401E99"/>
    <w:rsid w:val="00416315"/>
    <w:rsid w:val="004228BE"/>
    <w:rsid w:val="00430BFC"/>
    <w:rsid w:val="004416E3"/>
    <w:rsid w:val="004467CB"/>
    <w:rsid w:val="00446C64"/>
    <w:rsid w:val="004520AE"/>
    <w:rsid w:val="00453520"/>
    <w:rsid w:val="00456B66"/>
    <w:rsid w:val="00471FBB"/>
    <w:rsid w:val="00480442"/>
    <w:rsid w:val="004820F3"/>
    <w:rsid w:val="0048603C"/>
    <w:rsid w:val="00490CA5"/>
    <w:rsid w:val="004A2FC2"/>
    <w:rsid w:val="00500579"/>
    <w:rsid w:val="00514396"/>
    <w:rsid w:val="005247A9"/>
    <w:rsid w:val="00526DB5"/>
    <w:rsid w:val="00527F27"/>
    <w:rsid w:val="005333E1"/>
    <w:rsid w:val="0055370F"/>
    <w:rsid w:val="005560FF"/>
    <w:rsid w:val="00557D59"/>
    <w:rsid w:val="005604CC"/>
    <w:rsid w:val="0058468A"/>
    <w:rsid w:val="00585D42"/>
    <w:rsid w:val="005C05A9"/>
    <w:rsid w:val="005F0ECF"/>
    <w:rsid w:val="006006A7"/>
    <w:rsid w:val="006166C1"/>
    <w:rsid w:val="006305CA"/>
    <w:rsid w:val="00634953"/>
    <w:rsid w:val="00636D2A"/>
    <w:rsid w:val="00643DA0"/>
    <w:rsid w:val="006576B9"/>
    <w:rsid w:val="00660D63"/>
    <w:rsid w:val="006627DE"/>
    <w:rsid w:val="00674F7F"/>
    <w:rsid w:val="006903CC"/>
    <w:rsid w:val="0069754D"/>
    <w:rsid w:val="006B16D0"/>
    <w:rsid w:val="006B3145"/>
    <w:rsid w:val="006B6D11"/>
    <w:rsid w:val="006B6F1E"/>
    <w:rsid w:val="006C3ADC"/>
    <w:rsid w:val="006D3D00"/>
    <w:rsid w:val="006E7E55"/>
    <w:rsid w:val="00705273"/>
    <w:rsid w:val="007062AB"/>
    <w:rsid w:val="00712D20"/>
    <w:rsid w:val="0071443A"/>
    <w:rsid w:val="00751278"/>
    <w:rsid w:val="007515DB"/>
    <w:rsid w:val="00756DDF"/>
    <w:rsid w:val="007609EC"/>
    <w:rsid w:val="0076160C"/>
    <w:rsid w:val="00767937"/>
    <w:rsid w:val="00774316"/>
    <w:rsid w:val="007826E1"/>
    <w:rsid w:val="00786AC1"/>
    <w:rsid w:val="007907EB"/>
    <w:rsid w:val="00794741"/>
    <w:rsid w:val="007A1437"/>
    <w:rsid w:val="007A3FC2"/>
    <w:rsid w:val="007A6DD8"/>
    <w:rsid w:val="007B1124"/>
    <w:rsid w:val="007B2B8C"/>
    <w:rsid w:val="007C3B65"/>
    <w:rsid w:val="007D140F"/>
    <w:rsid w:val="007E4B48"/>
    <w:rsid w:val="00814482"/>
    <w:rsid w:val="00815BA8"/>
    <w:rsid w:val="008219B5"/>
    <w:rsid w:val="008233A2"/>
    <w:rsid w:val="008234B4"/>
    <w:rsid w:val="00844284"/>
    <w:rsid w:val="0086402E"/>
    <w:rsid w:val="00871E2D"/>
    <w:rsid w:val="008865B3"/>
    <w:rsid w:val="008A0F6B"/>
    <w:rsid w:val="008B04B7"/>
    <w:rsid w:val="008C671A"/>
    <w:rsid w:val="008C7A25"/>
    <w:rsid w:val="008D3489"/>
    <w:rsid w:val="008D35C8"/>
    <w:rsid w:val="008D5FE2"/>
    <w:rsid w:val="008F7F93"/>
    <w:rsid w:val="0090299F"/>
    <w:rsid w:val="00903CFF"/>
    <w:rsid w:val="009053C5"/>
    <w:rsid w:val="00906B23"/>
    <w:rsid w:val="00923237"/>
    <w:rsid w:val="00926794"/>
    <w:rsid w:val="00926DDB"/>
    <w:rsid w:val="009352D2"/>
    <w:rsid w:val="00936FCC"/>
    <w:rsid w:val="009464C2"/>
    <w:rsid w:val="009610EE"/>
    <w:rsid w:val="00970666"/>
    <w:rsid w:val="009734C5"/>
    <w:rsid w:val="0098321A"/>
    <w:rsid w:val="00995D68"/>
    <w:rsid w:val="0099653C"/>
    <w:rsid w:val="009A07F8"/>
    <w:rsid w:val="009A64E3"/>
    <w:rsid w:val="009A6EEA"/>
    <w:rsid w:val="009B4D8A"/>
    <w:rsid w:val="009C6795"/>
    <w:rsid w:val="009E1126"/>
    <w:rsid w:val="009E4AB0"/>
    <w:rsid w:val="00A4595A"/>
    <w:rsid w:val="00A60887"/>
    <w:rsid w:val="00A63626"/>
    <w:rsid w:val="00A72B61"/>
    <w:rsid w:val="00A73F32"/>
    <w:rsid w:val="00A834C9"/>
    <w:rsid w:val="00A952A6"/>
    <w:rsid w:val="00A95CD3"/>
    <w:rsid w:val="00A96CFE"/>
    <w:rsid w:val="00AA2FEE"/>
    <w:rsid w:val="00AA514F"/>
    <w:rsid w:val="00AA61ED"/>
    <w:rsid w:val="00AC7DD1"/>
    <w:rsid w:val="00AD1398"/>
    <w:rsid w:val="00AF097F"/>
    <w:rsid w:val="00B07705"/>
    <w:rsid w:val="00B10E38"/>
    <w:rsid w:val="00B10F6F"/>
    <w:rsid w:val="00B239D4"/>
    <w:rsid w:val="00B32461"/>
    <w:rsid w:val="00B33AEE"/>
    <w:rsid w:val="00B45C7E"/>
    <w:rsid w:val="00B7778D"/>
    <w:rsid w:val="00B863EC"/>
    <w:rsid w:val="00B945C8"/>
    <w:rsid w:val="00BA0F2F"/>
    <w:rsid w:val="00BD36AD"/>
    <w:rsid w:val="00BD5272"/>
    <w:rsid w:val="00BE3176"/>
    <w:rsid w:val="00BE6A5F"/>
    <w:rsid w:val="00C14AA7"/>
    <w:rsid w:val="00C14E4B"/>
    <w:rsid w:val="00C24786"/>
    <w:rsid w:val="00C34FD2"/>
    <w:rsid w:val="00C35A14"/>
    <w:rsid w:val="00C50347"/>
    <w:rsid w:val="00C6143D"/>
    <w:rsid w:val="00C63621"/>
    <w:rsid w:val="00C702D5"/>
    <w:rsid w:val="00C717DE"/>
    <w:rsid w:val="00C837F1"/>
    <w:rsid w:val="00C90435"/>
    <w:rsid w:val="00C90B57"/>
    <w:rsid w:val="00C976A2"/>
    <w:rsid w:val="00CA2AD0"/>
    <w:rsid w:val="00CB08E7"/>
    <w:rsid w:val="00CB26C5"/>
    <w:rsid w:val="00CB565E"/>
    <w:rsid w:val="00CB7DD3"/>
    <w:rsid w:val="00CC4A80"/>
    <w:rsid w:val="00CD404F"/>
    <w:rsid w:val="00CE40FE"/>
    <w:rsid w:val="00CE455A"/>
    <w:rsid w:val="00D02093"/>
    <w:rsid w:val="00D0241F"/>
    <w:rsid w:val="00D0586F"/>
    <w:rsid w:val="00D069B4"/>
    <w:rsid w:val="00D269B6"/>
    <w:rsid w:val="00D4583C"/>
    <w:rsid w:val="00D54459"/>
    <w:rsid w:val="00D55151"/>
    <w:rsid w:val="00D57DC7"/>
    <w:rsid w:val="00D6508E"/>
    <w:rsid w:val="00D73439"/>
    <w:rsid w:val="00D74D36"/>
    <w:rsid w:val="00D87E15"/>
    <w:rsid w:val="00D938CA"/>
    <w:rsid w:val="00DC0BB8"/>
    <w:rsid w:val="00DD4598"/>
    <w:rsid w:val="00DE3D08"/>
    <w:rsid w:val="00DE7400"/>
    <w:rsid w:val="00E14703"/>
    <w:rsid w:val="00E24A86"/>
    <w:rsid w:val="00E25DA2"/>
    <w:rsid w:val="00E33C1B"/>
    <w:rsid w:val="00E40AD6"/>
    <w:rsid w:val="00E477A7"/>
    <w:rsid w:val="00E61645"/>
    <w:rsid w:val="00E66B9A"/>
    <w:rsid w:val="00E96CA8"/>
    <w:rsid w:val="00EA2A0B"/>
    <w:rsid w:val="00EA7FEB"/>
    <w:rsid w:val="00EB4214"/>
    <w:rsid w:val="00EB5806"/>
    <w:rsid w:val="00EB7D58"/>
    <w:rsid w:val="00EC6E21"/>
    <w:rsid w:val="00EE276C"/>
    <w:rsid w:val="00EF74BE"/>
    <w:rsid w:val="00F03C1D"/>
    <w:rsid w:val="00F16C29"/>
    <w:rsid w:val="00F307E7"/>
    <w:rsid w:val="00F30A03"/>
    <w:rsid w:val="00F31F92"/>
    <w:rsid w:val="00F337B6"/>
    <w:rsid w:val="00F379F8"/>
    <w:rsid w:val="00F37B08"/>
    <w:rsid w:val="00F46FC7"/>
    <w:rsid w:val="00F50083"/>
    <w:rsid w:val="00F52933"/>
    <w:rsid w:val="00F531CC"/>
    <w:rsid w:val="00F85EFB"/>
    <w:rsid w:val="00FA3C62"/>
    <w:rsid w:val="00FA4812"/>
    <w:rsid w:val="00FA67E4"/>
    <w:rsid w:val="00FE1CC8"/>
    <w:rsid w:val="00FE3060"/>
    <w:rsid w:val="00FF2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DC0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54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54A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54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A25"/>
    <w:pPr>
      <w:ind w:left="720"/>
      <w:contextualSpacing/>
    </w:pPr>
  </w:style>
  <w:style w:type="character" w:customStyle="1" w:styleId="1Char">
    <w:name w:val="Επικεφαλίδα 1 Char"/>
    <w:basedOn w:val="a0"/>
    <w:link w:val="1"/>
    <w:uiPriority w:val="9"/>
    <w:rsid w:val="00DC0BB8"/>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C0B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DC0B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C0BB8"/>
    <w:rPr>
      <w:rFonts w:ascii="Tahoma" w:hAnsi="Tahoma" w:cs="Tahoma"/>
      <w:sz w:val="16"/>
      <w:szCs w:val="16"/>
    </w:rPr>
  </w:style>
  <w:style w:type="character" w:customStyle="1" w:styleId="2Char">
    <w:name w:val="Επικεφαλίδα 2 Char"/>
    <w:basedOn w:val="a0"/>
    <w:link w:val="2"/>
    <w:uiPriority w:val="9"/>
    <w:semiHidden/>
    <w:rsid w:val="00154AEF"/>
    <w:rPr>
      <w:rFonts w:asciiTheme="majorHAnsi" w:eastAsiaTheme="majorEastAsia" w:hAnsiTheme="majorHAnsi" w:cstheme="majorBidi"/>
      <w:b/>
      <w:bCs/>
      <w:color w:val="4F81BD" w:themeColor="accent1"/>
      <w:sz w:val="26"/>
      <w:szCs w:val="26"/>
    </w:rPr>
  </w:style>
  <w:style w:type="character" w:customStyle="1" w:styleId="elementor-icon-list-text">
    <w:name w:val="elementor-icon-list-text"/>
    <w:basedOn w:val="a0"/>
    <w:rsid w:val="00154AEF"/>
  </w:style>
  <w:style w:type="character" w:styleId="a5">
    <w:name w:val="Strong"/>
    <w:basedOn w:val="a0"/>
    <w:uiPriority w:val="22"/>
    <w:qFormat/>
    <w:rsid w:val="00154AEF"/>
    <w:rPr>
      <w:b/>
      <w:bCs/>
    </w:rPr>
  </w:style>
  <w:style w:type="character" w:customStyle="1" w:styleId="3Char">
    <w:name w:val="Επικεφαλίδα 3 Char"/>
    <w:basedOn w:val="a0"/>
    <w:link w:val="3"/>
    <w:uiPriority w:val="9"/>
    <w:semiHidden/>
    <w:rsid w:val="00154AE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154AEF"/>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F16C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DC0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54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54A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54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A25"/>
    <w:pPr>
      <w:ind w:left="720"/>
      <w:contextualSpacing/>
    </w:pPr>
  </w:style>
  <w:style w:type="character" w:customStyle="1" w:styleId="1Char">
    <w:name w:val="Επικεφαλίδα 1 Char"/>
    <w:basedOn w:val="a0"/>
    <w:link w:val="1"/>
    <w:uiPriority w:val="9"/>
    <w:rsid w:val="00DC0BB8"/>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C0B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DC0B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C0BB8"/>
    <w:rPr>
      <w:rFonts w:ascii="Tahoma" w:hAnsi="Tahoma" w:cs="Tahoma"/>
      <w:sz w:val="16"/>
      <w:szCs w:val="16"/>
    </w:rPr>
  </w:style>
  <w:style w:type="character" w:customStyle="1" w:styleId="2Char">
    <w:name w:val="Επικεφαλίδα 2 Char"/>
    <w:basedOn w:val="a0"/>
    <w:link w:val="2"/>
    <w:uiPriority w:val="9"/>
    <w:semiHidden/>
    <w:rsid w:val="00154AEF"/>
    <w:rPr>
      <w:rFonts w:asciiTheme="majorHAnsi" w:eastAsiaTheme="majorEastAsia" w:hAnsiTheme="majorHAnsi" w:cstheme="majorBidi"/>
      <w:b/>
      <w:bCs/>
      <w:color w:val="4F81BD" w:themeColor="accent1"/>
      <w:sz w:val="26"/>
      <w:szCs w:val="26"/>
    </w:rPr>
  </w:style>
  <w:style w:type="character" w:customStyle="1" w:styleId="elementor-icon-list-text">
    <w:name w:val="elementor-icon-list-text"/>
    <w:basedOn w:val="a0"/>
    <w:rsid w:val="00154AEF"/>
  </w:style>
  <w:style w:type="character" w:styleId="a5">
    <w:name w:val="Strong"/>
    <w:basedOn w:val="a0"/>
    <w:uiPriority w:val="22"/>
    <w:qFormat/>
    <w:rsid w:val="00154AEF"/>
    <w:rPr>
      <w:b/>
      <w:bCs/>
    </w:rPr>
  </w:style>
  <w:style w:type="character" w:customStyle="1" w:styleId="3Char">
    <w:name w:val="Επικεφαλίδα 3 Char"/>
    <w:basedOn w:val="a0"/>
    <w:link w:val="3"/>
    <w:uiPriority w:val="9"/>
    <w:semiHidden/>
    <w:rsid w:val="00154AE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154AEF"/>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F16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1772">
      <w:bodyDiv w:val="1"/>
      <w:marLeft w:val="0"/>
      <w:marRight w:val="0"/>
      <w:marTop w:val="0"/>
      <w:marBottom w:val="0"/>
      <w:divBdr>
        <w:top w:val="none" w:sz="0" w:space="0" w:color="auto"/>
        <w:left w:val="none" w:sz="0" w:space="0" w:color="auto"/>
        <w:bottom w:val="none" w:sz="0" w:space="0" w:color="auto"/>
        <w:right w:val="none" w:sz="0" w:space="0" w:color="auto"/>
      </w:divBdr>
    </w:div>
    <w:div w:id="90786772">
      <w:bodyDiv w:val="1"/>
      <w:marLeft w:val="0"/>
      <w:marRight w:val="0"/>
      <w:marTop w:val="0"/>
      <w:marBottom w:val="0"/>
      <w:divBdr>
        <w:top w:val="none" w:sz="0" w:space="0" w:color="auto"/>
        <w:left w:val="none" w:sz="0" w:space="0" w:color="auto"/>
        <w:bottom w:val="none" w:sz="0" w:space="0" w:color="auto"/>
        <w:right w:val="none" w:sz="0" w:space="0" w:color="auto"/>
      </w:divBdr>
    </w:div>
    <w:div w:id="214896671">
      <w:bodyDiv w:val="1"/>
      <w:marLeft w:val="0"/>
      <w:marRight w:val="0"/>
      <w:marTop w:val="0"/>
      <w:marBottom w:val="0"/>
      <w:divBdr>
        <w:top w:val="none" w:sz="0" w:space="0" w:color="auto"/>
        <w:left w:val="none" w:sz="0" w:space="0" w:color="auto"/>
        <w:bottom w:val="none" w:sz="0" w:space="0" w:color="auto"/>
        <w:right w:val="none" w:sz="0" w:space="0" w:color="auto"/>
      </w:divBdr>
    </w:div>
    <w:div w:id="237710190">
      <w:bodyDiv w:val="1"/>
      <w:marLeft w:val="0"/>
      <w:marRight w:val="0"/>
      <w:marTop w:val="0"/>
      <w:marBottom w:val="0"/>
      <w:divBdr>
        <w:top w:val="none" w:sz="0" w:space="0" w:color="auto"/>
        <w:left w:val="none" w:sz="0" w:space="0" w:color="auto"/>
        <w:bottom w:val="none" w:sz="0" w:space="0" w:color="auto"/>
        <w:right w:val="none" w:sz="0" w:space="0" w:color="auto"/>
      </w:divBdr>
    </w:div>
    <w:div w:id="436217625">
      <w:bodyDiv w:val="1"/>
      <w:marLeft w:val="0"/>
      <w:marRight w:val="0"/>
      <w:marTop w:val="0"/>
      <w:marBottom w:val="0"/>
      <w:divBdr>
        <w:top w:val="none" w:sz="0" w:space="0" w:color="auto"/>
        <w:left w:val="none" w:sz="0" w:space="0" w:color="auto"/>
        <w:bottom w:val="none" w:sz="0" w:space="0" w:color="auto"/>
        <w:right w:val="none" w:sz="0" w:space="0" w:color="auto"/>
      </w:divBdr>
    </w:div>
    <w:div w:id="449011597">
      <w:bodyDiv w:val="1"/>
      <w:marLeft w:val="0"/>
      <w:marRight w:val="0"/>
      <w:marTop w:val="0"/>
      <w:marBottom w:val="0"/>
      <w:divBdr>
        <w:top w:val="none" w:sz="0" w:space="0" w:color="auto"/>
        <w:left w:val="none" w:sz="0" w:space="0" w:color="auto"/>
        <w:bottom w:val="none" w:sz="0" w:space="0" w:color="auto"/>
        <w:right w:val="none" w:sz="0" w:space="0" w:color="auto"/>
      </w:divBdr>
    </w:div>
    <w:div w:id="1032152121">
      <w:bodyDiv w:val="1"/>
      <w:marLeft w:val="0"/>
      <w:marRight w:val="0"/>
      <w:marTop w:val="0"/>
      <w:marBottom w:val="0"/>
      <w:divBdr>
        <w:top w:val="none" w:sz="0" w:space="0" w:color="auto"/>
        <w:left w:val="none" w:sz="0" w:space="0" w:color="auto"/>
        <w:bottom w:val="none" w:sz="0" w:space="0" w:color="auto"/>
        <w:right w:val="none" w:sz="0" w:space="0" w:color="auto"/>
      </w:divBdr>
      <w:divsChild>
        <w:div w:id="1973636798">
          <w:marLeft w:val="0"/>
          <w:marRight w:val="0"/>
          <w:marTop w:val="0"/>
          <w:marBottom w:val="0"/>
          <w:divBdr>
            <w:top w:val="none" w:sz="0" w:space="0" w:color="auto"/>
            <w:left w:val="none" w:sz="0" w:space="0" w:color="auto"/>
            <w:bottom w:val="none" w:sz="0" w:space="0" w:color="auto"/>
            <w:right w:val="none" w:sz="0" w:space="0" w:color="auto"/>
          </w:divBdr>
          <w:divsChild>
            <w:div w:id="256063556">
              <w:marLeft w:val="0"/>
              <w:marRight w:val="0"/>
              <w:marTop w:val="0"/>
              <w:marBottom w:val="0"/>
              <w:divBdr>
                <w:top w:val="none" w:sz="0" w:space="0" w:color="auto"/>
                <w:left w:val="none" w:sz="0" w:space="0" w:color="auto"/>
                <w:bottom w:val="none" w:sz="0" w:space="0" w:color="auto"/>
                <w:right w:val="none" w:sz="0" w:space="0" w:color="auto"/>
              </w:divBdr>
            </w:div>
            <w:div w:id="1587499450">
              <w:marLeft w:val="0"/>
              <w:marRight w:val="0"/>
              <w:marTop w:val="0"/>
              <w:marBottom w:val="0"/>
              <w:divBdr>
                <w:top w:val="none" w:sz="0" w:space="0" w:color="auto"/>
                <w:left w:val="none" w:sz="0" w:space="0" w:color="auto"/>
                <w:bottom w:val="none" w:sz="0" w:space="0" w:color="auto"/>
                <w:right w:val="none" w:sz="0" w:space="0" w:color="auto"/>
              </w:divBdr>
              <w:divsChild>
                <w:div w:id="669870327">
                  <w:marLeft w:val="0"/>
                  <w:marRight w:val="0"/>
                  <w:marTop w:val="0"/>
                  <w:marBottom w:val="0"/>
                  <w:divBdr>
                    <w:top w:val="none" w:sz="0" w:space="0" w:color="auto"/>
                    <w:left w:val="none" w:sz="0" w:space="0" w:color="auto"/>
                    <w:bottom w:val="none" w:sz="0" w:space="0" w:color="auto"/>
                    <w:right w:val="none" w:sz="0" w:space="0" w:color="auto"/>
                  </w:divBdr>
                </w:div>
                <w:div w:id="1716854707">
                  <w:marLeft w:val="0"/>
                  <w:marRight w:val="0"/>
                  <w:marTop w:val="0"/>
                  <w:marBottom w:val="0"/>
                  <w:divBdr>
                    <w:top w:val="none" w:sz="0" w:space="0" w:color="auto"/>
                    <w:left w:val="none" w:sz="0" w:space="0" w:color="auto"/>
                    <w:bottom w:val="none" w:sz="0" w:space="0" w:color="auto"/>
                    <w:right w:val="none" w:sz="0" w:space="0" w:color="auto"/>
                  </w:divBdr>
                </w:div>
                <w:div w:id="423232826">
                  <w:marLeft w:val="0"/>
                  <w:marRight w:val="0"/>
                  <w:marTop w:val="0"/>
                  <w:marBottom w:val="0"/>
                  <w:divBdr>
                    <w:top w:val="none" w:sz="0" w:space="0" w:color="auto"/>
                    <w:left w:val="none" w:sz="0" w:space="0" w:color="auto"/>
                    <w:bottom w:val="none" w:sz="0" w:space="0" w:color="auto"/>
                    <w:right w:val="none" w:sz="0" w:space="0" w:color="auto"/>
                  </w:divBdr>
                </w:div>
                <w:div w:id="193082168">
                  <w:marLeft w:val="0"/>
                  <w:marRight w:val="0"/>
                  <w:marTop w:val="0"/>
                  <w:marBottom w:val="0"/>
                  <w:divBdr>
                    <w:top w:val="none" w:sz="0" w:space="0" w:color="auto"/>
                    <w:left w:val="none" w:sz="0" w:space="0" w:color="auto"/>
                    <w:bottom w:val="none" w:sz="0" w:space="0" w:color="auto"/>
                    <w:right w:val="none" w:sz="0" w:space="0" w:color="auto"/>
                  </w:divBdr>
                </w:div>
                <w:div w:id="2061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410">
          <w:marLeft w:val="0"/>
          <w:marRight w:val="0"/>
          <w:marTop w:val="0"/>
          <w:marBottom w:val="0"/>
          <w:divBdr>
            <w:top w:val="none" w:sz="0" w:space="0" w:color="auto"/>
            <w:left w:val="none" w:sz="0" w:space="0" w:color="auto"/>
            <w:bottom w:val="none" w:sz="0" w:space="0" w:color="auto"/>
            <w:right w:val="none" w:sz="0" w:space="0" w:color="auto"/>
          </w:divBdr>
        </w:div>
        <w:div w:id="2093697688">
          <w:marLeft w:val="0"/>
          <w:marRight w:val="0"/>
          <w:marTop w:val="0"/>
          <w:marBottom w:val="0"/>
          <w:divBdr>
            <w:top w:val="none" w:sz="0" w:space="0" w:color="auto"/>
            <w:left w:val="none" w:sz="0" w:space="0" w:color="auto"/>
            <w:bottom w:val="none" w:sz="0" w:space="0" w:color="auto"/>
            <w:right w:val="none" w:sz="0" w:space="0" w:color="auto"/>
          </w:divBdr>
        </w:div>
      </w:divsChild>
    </w:div>
    <w:div w:id="1434981769">
      <w:bodyDiv w:val="1"/>
      <w:marLeft w:val="0"/>
      <w:marRight w:val="0"/>
      <w:marTop w:val="0"/>
      <w:marBottom w:val="0"/>
      <w:divBdr>
        <w:top w:val="none" w:sz="0" w:space="0" w:color="auto"/>
        <w:left w:val="none" w:sz="0" w:space="0" w:color="auto"/>
        <w:bottom w:val="none" w:sz="0" w:space="0" w:color="auto"/>
        <w:right w:val="none" w:sz="0" w:space="0" w:color="auto"/>
      </w:divBdr>
    </w:div>
    <w:div w:id="1721435652">
      <w:bodyDiv w:val="1"/>
      <w:marLeft w:val="0"/>
      <w:marRight w:val="0"/>
      <w:marTop w:val="0"/>
      <w:marBottom w:val="0"/>
      <w:divBdr>
        <w:top w:val="none" w:sz="0" w:space="0" w:color="auto"/>
        <w:left w:val="none" w:sz="0" w:space="0" w:color="auto"/>
        <w:bottom w:val="none" w:sz="0" w:space="0" w:color="auto"/>
        <w:right w:val="none" w:sz="0" w:space="0" w:color="auto"/>
      </w:divBdr>
      <w:divsChild>
        <w:div w:id="1048215322">
          <w:marLeft w:val="0"/>
          <w:marRight w:val="0"/>
          <w:marTop w:val="0"/>
          <w:marBottom w:val="0"/>
          <w:divBdr>
            <w:top w:val="none" w:sz="0" w:space="0" w:color="auto"/>
            <w:left w:val="none" w:sz="0" w:space="0" w:color="auto"/>
            <w:bottom w:val="none" w:sz="0" w:space="0" w:color="auto"/>
            <w:right w:val="none" w:sz="0" w:space="0" w:color="auto"/>
          </w:divBdr>
          <w:divsChild>
            <w:div w:id="2094625034">
              <w:marLeft w:val="0"/>
              <w:marRight w:val="0"/>
              <w:marTop w:val="0"/>
              <w:marBottom w:val="0"/>
              <w:divBdr>
                <w:top w:val="none" w:sz="0" w:space="0" w:color="auto"/>
                <w:left w:val="none" w:sz="0" w:space="0" w:color="auto"/>
                <w:bottom w:val="none" w:sz="0" w:space="0" w:color="auto"/>
                <w:right w:val="none" w:sz="0" w:space="0" w:color="auto"/>
              </w:divBdr>
              <w:divsChild>
                <w:div w:id="1615139494">
                  <w:marLeft w:val="0"/>
                  <w:marRight w:val="0"/>
                  <w:marTop w:val="0"/>
                  <w:marBottom w:val="0"/>
                  <w:divBdr>
                    <w:top w:val="none" w:sz="0" w:space="0" w:color="auto"/>
                    <w:left w:val="none" w:sz="0" w:space="0" w:color="auto"/>
                    <w:bottom w:val="none" w:sz="0" w:space="0" w:color="auto"/>
                    <w:right w:val="none" w:sz="0" w:space="0" w:color="auto"/>
                  </w:divBdr>
                  <w:divsChild>
                    <w:div w:id="911700629">
                      <w:marLeft w:val="0"/>
                      <w:marRight w:val="0"/>
                      <w:marTop w:val="0"/>
                      <w:marBottom w:val="0"/>
                      <w:divBdr>
                        <w:top w:val="none" w:sz="0" w:space="0" w:color="auto"/>
                        <w:left w:val="none" w:sz="0" w:space="0" w:color="auto"/>
                        <w:bottom w:val="none" w:sz="0" w:space="0" w:color="auto"/>
                        <w:right w:val="none" w:sz="0" w:space="0" w:color="auto"/>
                      </w:divBdr>
                      <w:divsChild>
                        <w:div w:id="2043289100">
                          <w:marLeft w:val="0"/>
                          <w:marRight w:val="0"/>
                          <w:marTop w:val="0"/>
                          <w:marBottom w:val="0"/>
                          <w:divBdr>
                            <w:top w:val="none" w:sz="0" w:space="0" w:color="auto"/>
                            <w:left w:val="none" w:sz="0" w:space="0" w:color="auto"/>
                            <w:bottom w:val="none" w:sz="0" w:space="0" w:color="auto"/>
                            <w:right w:val="none" w:sz="0" w:space="0" w:color="auto"/>
                          </w:divBdr>
                          <w:divsChild>
                            <w:div w:id="1204757603">
                              <w:marLeft w:val="0"/>
                              <w:marRight w:val="0"/>
                              <w:marTop w:val="0"/>
                              <w:marBottom w:val="300"/>
                              <w:divBdr>
                                <w:top w:val="none" w:sz="0" w:space="0" w:color="auto"/>
                                <w:left w:val="none" w:sz="0" w:space="0" w:color="auto"/>
                                <w:bottom w:val="none" w:sz="0" w:space="0" w:color="auto"/>
                                <w:right w:val="none" w:sz="0" w:space="0" w:color="auto"/>
                              </w:divBdr>
                              <w:divsChild>
                                <w:div w:id="1712225320">
                                  <w:marLeft w:val="0"/>
                                  <w:marRight w:val="0"/>
                                  <w:marTop w:val="0"/>
                                  <w:marBottom w:val="0"/>
                                  <w:divBdr>
                                    <w:top w:val="none" w:sz="0" w:space="0" w:color="auto"/>
                                    <w:left w:val="none" w:sz="0" w:space="0" w:color="auto"/>
                                    <w:bottom w:val="none" w:sz="0" w:space="0" w:color="auto"/>
                                    <w:right w:val="none" w:sz="0" w:space="0" w:color="auto"/>
                                  </w:divBdr>
                                </w:div>
                              </w:divsChild>
                            </w:div>
                            <w:div w:id="1819151711">
                              <w:marLeft w:val="0"/>
                              <w:marRight w:val="0"/>
                              <w:marTop w:val="0"/>
                              <w:marBottom w:val="0"/>
                              <w:divBdr>
                                <w:top w:val="none" w:sz="0" w:space="0" w:color="auto"/>
                                <w:left w:val="none" w:sz="0" w:space="0" w:color="auto"/>
                                <w:bottom w:val="none" w:sz="0" w:space="0" w:color="auto"/>
                                <w:right w:val="none" w:sz="0" w:space="0" w:color="auto"/>
                              </w:divBdr>
                              <w:divsChild>
                                <w:div w:id="8655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1498">
          <w:marLeft w:val="0"/>
          <w:marRight w:val="0"/>
          <w:marTop w:val="0"/>
          <w:marBottom w:val="0"/>
          <w:divBdr>
            <w:top w:val="none" w:sz="0" w:space="0" w:color="auto"/>
            <w:left w:val="none" w:sz="0" w:space="0" w:color="auto"/>
            <w:bottom w:val="none" w:sz="0" w:space="0" w:color="auto"/>
            <w:right w:val="none" w:sz="0" w:space="0" w:color="auto"/>
          </w:divBdr>
          <w:divsChild>
            <w:div w:id="477385857">
              <w:marLeft w:val="0"/>
              <w:marRight w:val="0"/>
              <w:marTop w:val="0"/>
              <w:marBottom w:val="0"/>
              <w:divBdr>
                <w:top w:val="none" w:sz="0" w:space="0" w:color="auto"/>
                <w:left w:val="none" w:sz="0" w:space="0" w:color="auto"/>
                <w:bottom w:val="none" w:sz="0" w:space="0" w:color="auto"/>
                <w:right w:val="none" w:sz="0" w:space="0" w:color="auto"/>
              </w:divBdr>
              <w:divsChild>
                <w:div w:id="232354174">
                  <w:marLeft w:val="0"/>
                  <w:marRight w:val="0"/>
                  <w:marTop w:val="0"/>
                  <w:marBottom w:val="0"/>
                  <w:divBdr>
                    <w:top w:val="none" w:sz="0" w:space="0" w:color="auto"/>
                    <w:left w:val="none" w:sz="0" w:space="0" w:color="auto"/>
                    <w:bottom w:val="none" w:sz="0" w:space="0" w:color="auto"/>
                    <w:right w:val="none" w:sz="0" w:space="0" w:color="auto"/>
                  </w:divBdr>
                  <w:divsChild>
                    <w:div w:id="1864131808">
                      <w:marLeft w:val="0"/>
                      <w:marRight w:val="0"/>
                      <w:marTop w:val="0"/>
                      <w:marBottom w:val="0"/>
                      <w:divBdr>
                        <w:top w:val="none" w:sz="0" w:space="0" w:color="auto"/>
                        <w:left w:val="none" w:sz="0" w:space="0" w:color="auto"/>
                        <w:bottom w:val="none" w:sz="0" w:space="0" w:color="auto"/>
                        <w:right w:val="none" w:sz="0" w:space="0" w:color="auto"/>
                      </w:divBdr>
                      <w:divsChild>
                        <w:div w:id="521171769">
                          <w:marLeft w:val="0"/>
                          <w:marRight w:val="0"/>
                          <w:marTop w:val="0"/>
                          <w:marBottom w:val="0"/>
                          <w:divBdr>
                            <w:top w:val="none" w:sz="0" w:space="0" w:color="auto"/>
                            <w:left w:val="none" w:sz="0" w:space="0" w:color="auto"/>
                            <w:bottom w:val="none" w:sz="0" w:space="0" w:color="auto"/>
                            <w:right w:val="none" w:sz="0" w:space="0" w:color="auto"/>
                          </w:divBdr>
                          <w:divsChild>
                            <w:div w:id="1693188427">
                              <w:marLeft w:val="0"/>
                              <w:marRight w:val="0"/>
                              <w:marTop w:val="0"/>
                              <w:marBottom w:val="300"/>
                              <w:divBdr>
                                <w:top w:val="none" w:sz="0" w:space="0" w:color="auto"/>
                                <w:left w:val="none" w:sz="0" w:space="0" w:color="auto"/>
                                <w:bottom w:val="none" w:sz="0" w:space="0" w:color="auto"/>
                                <w:right w:val="none" w:sz="0" w:space="0" w:color="auto"/>
                              </w:divBdr>
                              <w:divsChild>
                                <w:div w:id="1049958748">
                                  <w:marLeft w:val="0"/>
                                  <w:marRight w:val="0"/>
                                  <w:marTop w:val="0"/>
                                  <w:marBottom w:val="0"/>
                                  <w:divBdr>
                                    <w:top w:val="none" w:sz="0" w:space="0" w:color="auto"/>
                                    <w:left w:val="none" w:sz="0" w:space="0" w:color="auto"/>
                                    <w:bottom w:val="none" w:sz="0" w:space="0" w:color="auto"/>
                                    <w:right w:val="none" w:sz="0" w:space="0" w:color="auto"/>
                                  </w:divBdr>
                                  <w:divsChild>
                                    <w:div w:id="12086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580">
                              <w:marLeft w:val="0"/>
                              <w:marRight w:val="0"/>
                              <w:marTop w:val="0"/>
                              <w:marBottom w:val="0"/>
                              <w:divBdr>
                                <w:top w:val="none" w:sz="0" w:space="0" w:color="auto"/>
                                <w:left w:val="none" w:sz="0" w:space="0" w:color="auto"/>
                                <w:bottom w:val="none" w:sz="0" w:space="0" w:color="auto"/>
                                <w:right w:val="none" w:sz="0" w:space="0" w:color="auto"/>
                              </w:divBdr>
                              <w:divsChild>
                                <w:div w:id="18121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korgolis@dypede.g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34D51-9428-4651-98BC-96219636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8180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s.korgolis</dc:creator>
  <cp:lastModifiedBy>User</cp:lastModifiedBy>
  <cp:revision>2</cp:revision>
  <cp:lastPrinted>2024-06-21T10:23:00Z</cp:lastPrinted>
  <dcterms:created xsi:type="dcterms:W3CDTF">2025-06-11T10:14:00Z</dcterms:created>
  <dcterms:modified xsi:type="dcterms:W3CDTF">2025-06-11T10:14:00Z</dcterms:modified>
</cp:coreProperties>
</file>